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6B" w:rsidRPr="009A272E" w:rsidRDefault="0005496B" w:rsidP="00A42069">
      <w:pPr>
        <w:spacing w:after="0" w:line="240" w:lineRule="auto"/>
        <w:jc w:val="center"/>
        <w:rPr>
          <w:rFonts w:ascii="Times New Roman" w:hAnsi="Times New Roman"/>
          <w:b/>
          <w:sz w:val="28"/>
          <w:szCs w:val="28"/>
        </w:rPr>
      </w:pPr>
      <w:r w:rsidRPr="009A272E">
        <w:rPr>
          <w:rFonts w:ascii="Times New Roman" w:hAnsi="Times New Roman"/>
          <w:b/>
          <w:sz w:val="28"/>
          <w:szCs w:val="28"/>
        </w:rPr>
        <w:t>Prince George’s County Public Schools</w:t>
      </w:r>
    </w:p>
    <w:p w:rsidR="0005496B" w:rsidRPr="009A272E" w:rsidRDefault="0005496B" w:rsidP="00A42069">
      <w:pPr>
        <w:spacing w:after="0" w:line="240" w:lineRule="auto"/>
        <w:jc w:val="center"/>
        <w:rPr>
          <w:rFonts w:ascii="Times New Roman" w:hAnsi="Times New Roman"/>
          <w:b/>
          <w:sz w:val="28"/>
          <w:szCs w:val="28"/>
        </w:rPr>
      </w:pPr>
      <w:r w:rsidRPr="009A272E">
        <w:rPr>
          <w:rFonts w:ascii="Times New Roman" w:hAnsi="Times New Roman"/>
          <w:b/>
          <w:sz w:val="28"/>
          <w:szCs w:val="28"/>
        </w:rPr>
        <w:t>Title I 1003(g) School Improvement Grant (SIG</w:t>
      </w:r>
      <w:r w:rsidR="00E20B19">
        <w:rPr>
          <w:rFonts w:ascii="Times New Roman" w:hAnsi="Times New Roman"/>
          <w:b/>
          <w:sz w:val="28"/>
          <w:szCs w:val="28"/>
        </w:rPr>
        <w:t xml:space="preserve"> II</w:t>
      </w:r>
      <w:r w:rsidRPr="009A272E">
        <w:rPr>
          <w:rFonts w:ascii="Times New Roman" w:hAnsi="Times New Roman"/>
          <w:b/>
          <w:sz w:val="28"/>
          <w:szCs w:val="28"/>
        </w:rPr>
        <w:t>)</w:t>
      </w:r>
    </w:p>
    <w:p w:rsidR="0005496B" w:rsidRPr="009A272E" w:rsidRDefault="0005496B" w:rsidP="00A42069">
      <w:pPr>
        <w:spacing w:after="0" w:line="240" w:lineRule="auto"/>
        <w:jc w:val="center"/>
        <w:rPr>
          <w:rFonts w:ascii="Times New Roman" w:hAnsi="Times New Roman"/>
          <w:b/>
          <w:sz w:val="28"/>
          <w:szCs w:val="28"/>
        </w:rPr>
      </w:pPr>
      <w:r>
        <w:rPr>
          <w:rFonts w:ascii="Times New Roman" w:hAnsi="Times New Roman"/>
          <w:b/>
          <w:sz w:val="28"/>
          <w:szCs w:val="28"/>
        </w:rPr>
        <w:t>Quarter</w:t>
      </w:r>
      <w:r w:rsidR="00954FAA">
        <w:rPr>
          <w:rFonts w:ascii="Times New Roman" w:hAnsi="Times New Roman"/>
          <w:b/>
          <w:sz w:val="28"/>
          <w:szCs w:val="28"/>
        </w:rPr>
        <w:t>ly</w:t>
      </w:r>
      <w:r w:rsidRPr="009A272E">
        <w:rPr>
          <w:rFonts w:ascii="Times New Roman" w:hAnsi="Times New Roman"/>
          <w:b/>
          <w:sz w:val="28"/>
          <w:szCs w:val="28"/>
        </w:rPr>
        <w:t xml:space="preserve"> Report</w:t>
      </w:r>
    </w:p>
    <w:p w:rsidR="0005496B" w:rsidRPr="00727BAE" w:rsidRDefault="0005496B" w:rsidP="00727BAE">
      <w:pPr>
        <w:jc w:val="center"/>
        <w:rPr>
          <w:rFonts w:ascii="Times New Roman" w:hAnsi="Times New Roman"/>
          <w:sz w:val="28"/>
          <w:szCs w:val="28"/>
        </w:rPr>
      </w:pPr>
      <w:r w:rsidRPr="00727BAE">
        <w:rPr>
          <w:rFonts w:ascii="Times New Roman" w:hAnsi="Times New Roman"/>
          <w:sz w:val="28"/>
          <w:szCs w:val="28"/>
        </w:rPr>
        <w:t>Date</w:t>
      </w:r>
      <w:r w:rsidR="00977080">
        <w:rPr>
          <w:rFonts w:ascii="Times New Roman" w:hAnsi="Times New Roman"/>
          <w:sz w:val="28"/>
          <w:szCs w:val="28"/>
        </w:rPr>
        <w:t xml:space="preserve"> Submitted </w:t>
      </w:r>
      <w:r w:rsidR="005F305F">
        <w:rPr>
          <w:rFonts w:ascii="Times New Roman" w:hAnsi="Times New Roman"/>
          <w:sz w:val="28"/>
          <w:szCs w:val="28"/>
        </w:rPr>
        <w:t>May 14</w:t>
      </w:r>
      <w:r w:rsidR="004F3470">
        <w:rPr>
          <w:rFonts w:ascii="Times New Roman" w:hAnsi="Times New Roman"/>
          <w:sz w:val="28"/>
          <w:szCs w:val="28"/>
        </w:rPr>
        <w:t>, 2012</w:t>
      </w:r>
    </w:p>
    <w:p w:rsidR="0005496B" w:rsidRPr="00727BAE" w:rsidRDefault="0005496B" w:rsidP="00727BAE">
      <w:pPr>
        <w:rPr>
          <w:rFonts w:ascii="Times New Roman" w:hAnsi="Times New Roman"/>
          <w:sz w:val="28"/>
          <w:szCs w:val="28"/>
        </w:rPr>
      </w:pPr>
      <w:r w:rsidRPr="00727BAE">
        <w:rPr>
          <w:rFonts w:ascii="Times New Roman" w:hAnsi="Times New Roman"/>
          <w:b/>
          <w:sz w:val="28"/>
          <w:szCs w:val="28"/>
          <w:u w:val="single"/>
        </w:rPr>
        <w:t>Part I:  Executive Summary</w:t>
      </w:r>
    </w:p>
    <w:p w:rsidR="007B4F0A" w:rsidRDefault="007B4F0A" w:rsidP="00385ED0">
      <w:pPr>
        <w:spacing w:after="0"/>
        <w:rPr>
          <w:rFonts w:ascii="Times New Roman" w:hAnsi="Times New Roman"/>
          <w:sz w:val="24"/>
          <w:szCs w:val="24"/>
        </w:rPr>
      </w:pPr>
      <w:r>
        <w:rPr>
          <w:rFonts w:ascii="Times New Roman" w:hAnsi="Times New Roman"/>
          <w:sz w:val="24"/>
          <w:szCs w:val="24"/>
        </w:rPr>
        <w:t xml:space="preserve">A lesson learned in the SIG I process was the importance of partners.  In addition, it is important to provide an infrastructure of support within the district.  With that in mind, the district decided to use the restart model with a partner which would provide support around leadership support, academic supports, protocols for planning and teaching and family engagement.  In addition, the district expanded the role of the Turnaround Office with more subject content support and family engagement support.  </w:t>
      </w:r>
    </w:p>
    <w:p w:rsidR="007B4F0A" w:rsidRDefault="007B4F0A" w:rsidP="00385ED0">
      <w:pPr>
        <w:spacing w:after="0"/>
        <w:rPr>
          <w:rFonts w:ascii="Times New Roman" w:hAnsi="Times New Roman"/>
          <w:sz w:val="24"/>
          <w:szCs w:val="24"/>
        </w:rPr>
      </w:pPr>
    </w:p>
    <w:p w:rsidR="0005496B" w:rsidRDefault="007B4F0A" w:rsidP="00385ED0">
      <w:pPr>
        <w:spacing w:after="0"/>
        <w:rPr>
          <w:rFonts w:ascii="Times New Roman" w:hAnsi="Times New Roman"/>
          <w:sz w:val="24"/>
          <w:szCs w:val="24"/>
        </w:rPr>
      </w:pPr>
      <w:r>
        <w:rPr>
          <w:rFonts w:ascii="Times New Roman" w:hAnsi="Times New Roman"/>
          <w:sz w:val="24"/>
          <w:szCs w:val="24"/>
        </w:rPr>
        <w:t>Mosaica was selected as the partner.  The first six months of the partnership was a process of aligning expectations and deliverables.  The relationship was not in the tradition vein of an Educational Management Organization takeover, to more of a partnership.  The leadership support started slowly as it took time to build trust.  Eventually, the Mosaica staff was changed to create a stronger relationship with the principals.  The academic support came in the form of a computerized program called Mercury on-line.  This process required an alignment of the technology and an upload of student information.  While currently in place, there that been some issues in the full implementation of the program.  The district and Mosaica continue to work through the challenges.  The protocols for collaborative planning, student support planning and teacher planning were implemented early in the process and continue.  Family engagement continues to evolve.</w:t>
      </w:r>
    </w:p>
    <w:p w:rsidR="007B4F0A" w:rsidRDefault="007B4F0A" w:rsidP="00385ED0">
      <w:pPr>
        <w:spacing w:after="0"/>
        <w:rPr>
          <w:rFonts w:ascii="Times New Roman" w:hAnsi="Times New Roman"/>
          <w:sz w:val="24"/>
          <w:szCs w:val="24"/>
        </w:rPr>
      </w:pPr>
    </w:p>
    <w:p w:rsidR="007B4F0A" w:rsidRDefault="007B4F0A" w:rsidP="00385ED0">
      <w:pPr>
        <w:spacing w:after="0"/>
        <w:rPr>
          <w:rFonts w:ascii="Times New Roman" w:hAnsi="Times New Roman"/>
          <w:sz w:val="24"/>
          <w:szCs w:val="24"/>
        </w:rPr>
      </w:pPr>
      <w:r>
        <w:rPr>
          <w:rFonts w:ascii="Times New Roman" w:hAnsi="Times New Roman"/>
          <w:sz w:val="24"/>
          <w:szCs w:val="24"/>
        </w:rPr>
        <w:t>The Turnaround Office has been able to provide subject content support and family engagement support.  In addition, the Turnaround Office has maintained critical and continued communication with Mosaica.  This has served to clarify expectations and deliverables.  The relationship continues to evolve in a positive direction.</w:t>
      </w:r>
    </w:p>
    <w:p w:rsidR="007B4F0A" w:rsidRDefault="007B4F0A" w:rsidP="00385ED0">
      <w:pPr>
        <w:spacing w:after="0"/>
        <w:rPr>
          <w:rFonts w:ascii="Times New Roman" w:hAnsi="Times New Roman"/>
          <w:sz w:val="24"/>
          <w:szCs w:val="24"/>
        </w:rPr>
      </w:pPr>
    </w:p>
    <w:p w:rsidR="007B4F0A" w:rsidRDefault="007B4F0A" w:rsidP="00385ED0">
      <w:pPr>
        <w:spacing w:after="0"/>
        <w:rPr>
          <w:rFonts w:ascii="Times New Roman" w:hAnsi="Times New Roman"/>
          <w:sz w:val="24"/>
          <w:szCs w:val="24"/>
        </w:rPr>
      </w:pPr>
      <w:r>
        <w:rPr>
          <w:rFonts w:ascii="Times New Roman" w:hAnsi="Times New Roman"/>
          <w:sz w:val="24"/>
          <w:szCs w:val="24"/>
        </w:rPr>
        <w:t xml:space="preserve">Challenges to the turnaround effort continue to be staffing with highly effective teachers.   The district continues to examine hiring and placement practices to find the most highly effective teachers for the turnaround effort.  Additional challenges include </w:t>
      </w:r>
      <w:r w:rsidR="00230080">
        <w:rPr>
          <w:rFonts w:ascii="Times New Roman" w:hAnsi="Times New Roman"/>
          <w:sz w:val="24"/>
          <w:szCs w:val="24"/>
        </w:rPr>
        <w:t xml:space="preserve">the release of SIG funds to hire additional positions.  The turnaround content specialists were not in place until the end of the first marking period due to the grant loading and approval process.  The district continues to work through procedural challenges.  </w:t>
      </w:r>
    </w:p>
    <w:p w:rsidR="00230080" w:rsidRDefault="00230080" w:rsidP="00385ED0">
      <w:pPr>
        <w:spacing w:after="0"/>
        <w:rPr>
          <w:rFonts w:ascii="Times New Roman" w:hAnsi="Times New Roman"/>
          <w:sz w:val="24"/>
          <w:szCs w:val="24"/>
        </w:rPr>
      </w:pPr>
    </w:p>
    <w:p w:rsidR="00230080" w:rsidRDefault="00230080" w:rsidP="00385ED0">
      <w:pPr>
        <w:spacing w:after="0"/>
        <w:rPr>
          <w:rFonts w:ascii="Times New Roman" w:hAnsi="Times New Roman"/>
          <w:sz w:val="24"/>
          <w:szCs w:val="24"/>
        </w:rPr>
      </w:pPr>
      <w:r>
        <w:rPr>
          <w:rFonts w:ascii="Times New Roman" w:hAnsi="Times New Roman"/>
          <w:sz w:val="24"/>
          <w:szCs w:val="24"/>
        </w:rPr>
        <w:t xml:space="preserve">The leadership in the SIG II schools is well positioned to oversee instructional improvement and academic performance. </w:t>
      </w:r>
      <w:r w:rsidR="00954FAA">
        <w:rPr>
          <w:rFonts w:ascii="Times New Roman" w:hAnsi="Times New Roman"/>
          <w:sz w:val="24"/>
          <w:szCs w:val="24"/>
        </w:rPr>
        <w:t xml:space="preserve"> Gains in performance are noted in the appropriate section.</w:t>
      </w:r>
    </w:p>
    <w:p w:rsidR="00230080" w:rsidRPr="007B4F0A" w:rsidRDefault="00230080" w:rsidP="00385ED0">
      <w:pPr>
        <w:spacing w:after="0"/>
        <w:rPr>
          <w:rFonts w:ascii="Times New Roman" w:hAnsi="Times New Roman"/>
          <w:sz w:val="24"/>
          <w:szCs w:val="24"/>
        </w:rPr>
      </w:pPr>
    </w:p>
    <w:p w:rsidR="00E20B19" w:rsidRPr="00C61C7A" w:rsidRDefault="00E20B19" w:rsidP="00385ED0">
      <w:pPr>
        <w:spacing w:after="0"/>
        <w:rPr>
          <w:rFonts w:ascii="Times New Roman" w:hAnsi="Times New Roman"/>
          <w:b/>
          <w:color w:val="FF0000"/>
          <w:u w:val="single"/>
        </w:rPr>
      </w:pPr>
    </w:p>
    <w:p w:rsidR="0005496B" w:rsidRPr="00727BAE" w:rsidRDefault="0005496B" w:rsidP="005F4F0B">
      <w:pPr>
        <w:spacing w:after="0"/>
        <w:rPr>
          <w:rFonts w:ascii="Times New Roman" w:hAnsi="Times New Roman"/>
          <w:b/>
          <w:sz w:val="28"/>
          <w:szCs w:val="28"/>
          <w:u w:val="single"/>
        </w:rPr>
      </w:pPr>
      <w:r w:rsidRPr="00727BAE">
        <w:rPr>
          <w:rFonts w:ascii="Times New Roman" w:hAnsi="Times New Roman"/>
          <w:b/>
          <w:sz w:val="28"/>
          <w:szCs w:val="28"/>
          <w:u w:val="single"/>
        </w:rPr>
        <w:lastRenderedPageBreak/>
        <w:t>I</w:t>
      </w:r>
      <w:r>
        <w:rPr>
          <w:rFonts w:ascii="Times New Roman" w:hAnsi="Times New Roman"/>
          <w:b/>
          <w:sz w:val="28"/>
          <w:szCs w:val="28"/>
          <w:u w:val="single"/>
        </w:rPr>
        <w:t xml:space="preserve"> </w:t>
      </w:r>
      <w:r w:rsidRPr="00727BAE">
        <w:rPr>
          <w:rFonts w:ascii="Times New Roman" w:hAnsi="Times New Roman"/>
          <w:b/>
          <w:sz w:val="28"/>
          <w:szCs w:val="28"/>
          <w:u w:val="single"/>
        </w:rPr>
        <w:t>A.  Strengths:</w:t>
      </w:r>
    </w:p>
    <w:p w:rsidR="004F3470" w:rsidRDefault="004F3470" w:rsidP="00385ED0">
      <w:pPr>
        <w:spacing w:after="0"/>
        <w:rPr>
          <w:rFonts w:ascii="Times New Roman" w:hAnsi="Times New Roman"/>
        </w:rPr>
      </w:pPr>
    </w:p>
    <w:p w:rsidR="00F673EA" w:rsidRPr="00300642" w:rsidRDefault="00F673EA" w:rsidP="00385ED0">
      <w:pPr>
        <w:spacing w:after="0"/>
        <w:rPr>
          <w:rFonts w:ascii="Times New Roman" w:hAnsi="Times New Roman"/>
          <w:sz w:val="24"/>
          <w:szCs w:val="24"/>
        </w:rPr>
      </w:pPr>
      <w:r w:rsidRPr="00300642">
        <w:rPr>
          <w:rFonts w:ascii="Times New Roman" w:hAnsi="Times New Roman"/>
          <w:sz w:val="24"/>
          <w:szCs w:val="24"/>
        </w:rPr>
        <w:t>SIG II provided a unique opportunity for Prince George’s County Public Schools to reflect upon lessons learned in “Turnaround” to add two additional schools using the restart model.  Many question why the district selected this model over turnaround.  First, with the decrease in school funding and reduction in force, the turnaround model as written is counterproductive to our efforts to accelerating school achievement.  Replacing fifty (50) percent of staff would not have been an effective strategy in light of the difficulty of securing highly effective staff for the original SIG I schools, and the pool of candidates was not as vast as we would have preferred.</w:t>
      </w:r>
    </w:p>
    <w:p w:rsidR="00F673EA" w:rsidRPr="00300642" w:rsidRDefault="00F673EA" w:rsidP="00385ED0">
      <w:pPr>
        <w:spacing w:after="0"/>
        <w:rPr>
          <w:rFonts w:ascii="Times New Roman" w:hAnsi="Times New Roman"/>
          <w:sz w:val="24"/>
          <w:szCs w:val="24"/>
        </w:rPr>
      </w:pPr>
    </w:p>
    <w:p w:rsidR="00F673EA" w:rsidRPr="00300642" w:rsidRDefault="00F673EA" w:rsidP="00385ED0">
      <w:pPr>
        <w:spacing w:after="0"/>
        <w:rPr>
          <w:rFonts w:ascii="Times New Roman" w:hAnsi="Times New Roman"/>
          <w:sz w:val="24"/>
          <w:szCs w:val="24"/>
        </w:rPr>
      </w:pPr>
      <w:r w:rsidRPr="00300642">
        <w:rPr>
          <w:rFonts w:ascii="Times New Roman" w:hAnsi="Times New Roman"/>
          <w:sz w:val="24"/>
          <w:szCs w:val="24"/>
        </w:rPr>
        <w:t>SIG II was different form SIG I in that it allowed the district to work closely with the restart partner to conduct funded pre-implementation activities to support the work.  Prince George’s County was successful at developing an RFP, hosting a meeting for potential partners, reviewing proposals, and collaborating to select the best company to partner with our two new SIG II schools: Oxon Hill Middle and Thomas Johnson Middle.</w:t>
      </w:r>
    </w:p>
    <w:p w:rsidR="00F673EA" w:rsidRPr="00300642" w:rsidRDefault="00F673EA" w:rsidP="00385ED0">
      <w:pPr>
        <w:spacing w:after="0"/>
        <w:rPr>
          <w:rFonts w:ascii="Times New Roman" w:hAnsi="Times New Roman"/>
          <w:sz w:val="24"/>
          <w:szCs w:val="24"/>
        </w:rPr>
      </w:pPr>
    </w:p>
    <w:p w:rsidR="00F673EA" w:rsidRPr="00300642" w:rsidRDefault="005C4169" w:rsidP="00385ED0">
      <w:pPr>
        <w:spacing w:after="0"/>
        <w:rPr>
          <w:rFonts w:ascii="Times New Roman" w:hAnsi="Times New Roman"/>
          <w:sz w:val="24"/>
          <w:szCs w:val="24"/>
        </w:rPr>
      </w:pPr>
      <w:r w:rsidRPr="00300642">
        <w:rPr>
          <w:rFonts w:ascii="Times New Roman" w:hAnsi="Times New Roman"/>
          <w:sz w:val="24"/>
          <w:szCs w:val="24"/>
        </w:rPr>
        <w:t>Needs Assessments were conducted at each school during the month of June.  Within two weeks of the needs assessment, Mosaica, our restart partner provided a narrative of their findings to support their work.  The needs assessment for each school is attached.</w:t>
      </w:r>
    </w:p>
    <w:p w:rsidR="005C4169" w:rsidRPr="00300642" w:rsidRDefault="005C4169" w:rsidP="00385ED0">
      <w:pPr>
        <w:spacing w:after="0"/>
        <w:rPr>
          <w:rFonts w:ascii="Times New Roman" w:hAnsi="Times New Roman"/>
          <w:sz w:val="24"/>
          <w:szCs w:val="24"/>
        </w:rPr>
      </w:pPr>
    </w:p>
    <w:p w:rsidR="005C4169" w:rsidRPr="00300642" w:rsidRDefault="005C4169" w:rsidP="00385ED0">
      <w:pPr>
        <w:spacing w:after="0"/>
        <w:rPr>
          <w:rFonts w:ascii="Times New Roman" w:hAnsi="Times New Roman"/>
          <w:sz w:val="24"/>
          <w:szCs w:val="24"/>
        </w:rPr>
      </w:pPr>
      <w:r w:rsidRPr="00300642">
        <w:rPr>
          <w:rFonts w:ascii="Times New Roman" w:hAnsi="Times New Roman"/>
          <w:sz w:val="24"/>
          <w:szCs w:val="24"/>
        </w:rPr>
        <w:t>Staff meetings were held in June for two purposes. First, the Turnaround Director provided the vision of PGCPS Turnaround while discussing the unique aspects of the SIG II application to include the purpose for funding, staffing allocations, and an introduction to Mosaica.  Secondly, the president of Mosaica Education Turnarounds provided an overview of the company and a summary of the work that would be conducted in each of the schools to include intense professional development, professional development plans for each staff member, individual plans for students, role of additional staff, etc… Parent meetings followed reiterating the same message.</w:t>
      </w:r>
    </w:p>
    <w:p w:rsidR="004F3470" w:rsidRDefault="004F3470" w:rsidP="00385ED0">
      <w:pPr>
        <w:spacing w:after="0"/>
        <w:rPr>
          <w:rFonts w:ascii="Times New Roman" w:hAnsi="Times New Roman"/>
          <w:b/>
          <w:color w:val="943634" w:themeColor="accent2" w:themeShade="BF"/>
        </w:rPr>
      </w:pPr>
    </w:p>
    <w:p w:rsidR="004F3470" w:rsidRPr="00300642" w:rsidRDefault="004F3470" w:rsidP="00385ED0">
      <w:pPr>
        <w:spacing w:after="0"/>
        <w:rPr>
          <w:rFonts w:ascii="Times New Roman" w:hAnsi="Times New Roman"/>
          <w:b/>
          <w:sz w:val="24"/>
          <w:szCs w:val="24"/>
        </w:rPr>
      </w:pPr>
      <w:r w:rsidRPr="00300642">
        <w:rPr>
          <w:rFonts w:ascii="Times New Roman" w:hAnsi="Times New Roman"/>
          <w:b/>
          <w:sz w:val="24"/>
          <w:szCs w:val="24"/>
        </w:rPr>
        <w:t>First Quarter</w:t>
      </w:r>
    </w:p>
    <w:p w:rsidR="00A5075B" w:rsidRPr="00300642" w:rsidRDefault="00A5075B" w:rsidP="00385ED0">
      <w:pPr>
        <w:spacing w:after="0"/>
        <w:rPr>
          <w:rFonts w:ascii="Times New Roman" w:hAnsi="Times New Roman"/>
          <w:sz w:val="24"/>
          <w:szCs w:val="24"/>
        </w:rPr>
      </w:pPr>
      <w:r w:rsidRPr="00300642">
        <w:rPr>
          <w:rFonts w:ascii="Times New Roman" w:hAnsi="Times New Roman"/>
          <w:sz w:val="24"/>
          <w:szCs w:val="24"/>
        </w:rPr>
        <w:t>The needs assessment conducted in June of 2011 was helpful in planning an initial course of action for both schools and the list of deliverabl</w:t>
      </w:r>
      <w:r w:rsidR="00775F5F" w:rsidRPr="00300642">
        <w:rPr>
          <w:rFonts w:ascii="Times New Roman" w:hAnsi="Times New Roman"/>
          <w:sz w:val="24"/>
          <w:szCs w:val="24"/>
        </w:rPr>
        <w:t xml:space="preserve">es was clear in its terms and </w:t>
      </w:r>
      <w:r w:rsidRPr="00300642">
        <w:rPr>
          <w:rFonts w:ascii="Times New Roman" w:hAnsi="Times New Roman"/>
          <w:sz w:val="24"/>
          <w:szCs w:val="24"/>
        </w:rPr>
        <w:t>derived directly from the grant application.</w:t>
      </w:r>
    </w:p>
    <w:p w:rsidR="00A5075B" w:rsidRPr="00300642" w:rsidRDefault="00A5075B" w:rsidP="00385ED0">
      <w:pPr>
        <w:spacing w:after="0"/>
        <w:rPr>
          <w:rFonts w:ascii="Times New Roman" w:hAnsi="Times New Roman"/>
          <w:sz w:val="24"/>
          <w:szCs w:val="24"/>
        </w:rPr>
      </w:pPr>
    </w:p>
    <w:p w:rsidR="00A5075B" w:rsidRPr="00300642" w:rsidRDefault="00A5075B" w:rsidP="00385ED0">
      <w:pPr>
        <w:spacing w:after="0"/>
        <w:rPr>
          <w:rFonts w:ascii="Times New Roman" w:hAnsi="Times New Roman"/>
          <w:sz w:val="24"/>
          <w:szCs w:val="24"/>
        </w:rPr>
      </w:pPr>
      <w:r w:rsidRPr="00300642">
        <w:rPr>
          <w:rFonts w:ascii="Times New Roman" w:hAnsi="Times New Roman"/>
          <w:sz w:val="24"/>
          <w:szCs w:val="24"/>
        </w:rPr>
        <w:t>School staff was well informed as to the restart efforts and the anticipated changes that would occur.  Processes and procedures existed in each school and in the county itself to support restart efforts.  Collaborative planning meetings occurred regularly as did school-wide meetings around school culture and student achievement.</w:t>
      </w:r>
    </w:p>
    <w:p w:rsidR="00740DE4" w:rsidRPr="00300642" w:rsidRDefault="00740DE4" w:rsidP="00385ED0">
      <w:pPr>
        <w:spacing w:after="0"/>
        <w:rPr>
          <w:rFonts w:ascii="Times New Roman" w:hAnsi="Times New Roman"/>
          <w:sz w:val="24"/>
          <w:szCs w:val="24"/>
        </w:rPr>
      </w:pPr>
    </w:p>
    <w:p w:rsidR="00A5075B" w:rsidRPr="00300642" w:rsidRDefault="00A5075B" w:rsidP="00385ED0">
      <w:pPr>
        <w:spacing w:after="0"/>
        <w:rPr>
          <w:rFonts w:ascii="Times New Roman" w:hAnsi="Times New Roman"/>
          <w:sz w:val="24"/>
          <w:szCs w:val="24"/>
        </w:rPr>
      </w:pPr>
      <w:r w:rsidRPr="00300642">
        <w:rPr>
          <w:rFonts w:ascii="Times New Roman" w:hAnsi="Times New Roman"/>
          <w:sz w:val="24"/>
          <w:szCs w:val="24"/>
        </w:rPr>
        <w:t>MTP offered 2 full-time staff members to work with both schools.</w:t>
      </w:r>
    </w:p>
    <w:p w:rsidR="004F3470" w:rsidRPr="00300642" w:rsidRDefault="004F3470" w:rsidP="00385ED0">
      <w:pPr>
        <w:spacing w:after="0"/>
        <w:rPr>
          <w:rFonts w:ascii="Times New Roman" w:hAnsi="Times New Roman"/>
          <w:b/>
          <w:sz w:val="24"/>
          <w:szCs w:val="24"/>
        </w:rPr>
      </w:pPr>
    </w:p>
    <w:p w:rsidR="00300642" w:rsidRPr="00300642" w:rsidRDefault="00300642" w:rsidP="00385ED0">
      <w:pPr>
        <w:spacing w:after="0"/>
        <w:rPr>
          <w:rFonts w:ascii="Times New Roman" w:hAnsi="Times New Roman"/>
          <w:b/>
          <w:sz w:val="24"/>
          <w:szCs w:val="24"/>
        </w:rPr>
      </w:pPr>
    </w:p>
    <w:p w:rsidR="00300642" w:rsidRPr="00300642" w:rsidRDefault="00300642" w:rsidP="00385ED0">
      <w:pPr>
        <w:spacing w:after="0"/>
        <w:rPr>
          <w:rFonts w:ascii="Times New Roman" w:hAnsi="Times New Roman"/>
          <w:b/>
          <w:sz w:val="24"/>
          <w:szCs w:val="24"/>
        </w:rPr>
      </w:pPr>
    </w:p>
    <w:p w:rsidR="004F3470" w:rsidRPr="00300642" w:rsidRDefault="004F3470" w:rsidP="00385ED0">
      <w:pPr>
        <w:spacing w:after="0"/>
        <w:rPr>
          <w:rFonts w:ascii="Times New Roman" w:hAnsi="Times New Roman"/>
          <w:b/>
          <w:sz w:val="24"/>
          <w:szCs w:val="24"/>
        </w:rPr>
      </w:pPr>
      <w:r w:rsidRPr="00300642">
        <w:rPr>
          <w:rFonts w:ascii="Times New Roman" w:hAnsi="Times New Roman"/>
          <w:b/>
          <w:sz w:val="24"/>
          <w:szCs w:val="24"/>
        </w:rPr>
        <w:lastRenderedPageBreak/>
        <w:t>Second Quarter</w:t>
      </w:r>
    </w:p>
    <w:p w:rsidR="00A5075B" w:rsidRPr="00300642" w:rsidRDefault="00775F5F" w:rsidP="00385ED0">
      <w:pPr>
        <w:spacing w:after="0"/>
        <w:rPr>
          <w:rFonts w:ascii="Times New Roman" w:hAnsi="Times New Roman"/>
          <w:sz w:val="24"/>
          <w:szCs w:val="24"/>
        </w:rPr>
      </w:pPr>
      <w:r w:rsidRPr="00300642">
        <w:rPr>
          <w:rFonts w:ascii="Times New Roman" w:hAnsi="Times New Roman"/>
          <w:sz w:val="24"/>
          <w:szCs w:val="24"/>
        </w:rPr>
        <w:t xml:space="preserve">The </w:t>
      </w:r>
      <w:r w:rsidR="00AD4360" w:rsidRPr="00300642">
        <w:rPr>
          <w:rFonts w:ascii="Times New Roman" w:hAnsi="Times New Roman"/>
          <w:sz w:val="24"/>
          <w:szCs w:val="24"/>
        </w:rPr>
        <w:t>on boarding</w:t>
      </w:r>
      <w:r w:rsidRPr="00300642">
        <w:rPr>
          <w:rFonts w:ascii="Times New Roman" w:hAnsi="Times New Roman"/>
          <w:sz w:val="24"/>
          <w:szCs w:val="24"/>
        </w:rPr>
        <w:t xml:space="preserve"> of experienced</w:t>
      </w:r>
      <w:r w:rsidR="00A5075B" w:rsidRPr="00300642">
        <w:rPr>
          <w:rFonts w:ascii="Times New Roman" w:hAnsi="Times New Roman"/>
          <w:sz w:val="24"/>
          <w:szCs w:val="24"/>
        </w:rPr>
        <w:t xml:space="preserve"> coaches and specialists accelerated the speed of implementation which has resulted in observable growth and proficiency in each school as was evidenced in the January 2012 SIG II Year 1 Monitoring Team’s Second Onsite Visit.  While schools are showing some documented growth in school culture and academic achievement, the </w:t>
      </w:r>
      <w:r w:rsidR="000D0563" w:rsidRPr="00300642">
        <w:rPr>
          <w:rFonts w:ascii="Times New Roman" w:hAnsi="Times New Roman"/>
          <w:sz w:val="24"/>
          <w:szCs w:val="24"/>
        </w:rPr>
        <w:t>beginning phases of implementation are now becoming habit and a way of life at both schools.</w:t>
      </w:r>
      <w:r w:rsidR="00A5075B" w:rsidRPr="00300642">
        <w:rPr>
          <w:rFonts w:ascii="Times New Roman" w:hAnsi="Times New Roman"/>
          <w:sz w:val="24"/>
          <w:szCs w:val="24"/>
        </w:rPr>
        <w:t xml:space="preserve"> </w:t>
      </w:r>
    </w:p>
    <w:p w:rsidR="00A5075B" w:rsidRPr="00300642" w:rsidRDefault="00A5075B" w:rsidP="00385ED0">
      <w:pPr>
        <w:spacing w:after="0"/>
        <w:rPr>
          <w:rFonts w:ascii="Times New Roman" w:hAnsi="Times New Roman"/>
          <w:sz w:val="24"/>
          <w:szCs w:val="24"/>
        </w:rPr>
      </w:pPr>
    </w:p>
    <w:p w:rsidR="00740DE4" w:rsidRPr="00300642" w:rsidRDefault="00290740" w:rsidP="00385ED0">
      <w:pPr>
        <w:spacing w:after="0"/>
        <w:rPr>
          <w:rFonts w:ascii="Times New Roman" w:hAnsi="Times New Roman"/>
          <w:sz w:val="24"/>
          <w:szCs w:val="24"/>
        </w:rPr>
      </w:pPr>
      <w:r>
        <w:rPr>
          <w:rFonts w:ascii="Times New Roman" w:hAnsi="Times New Roman"/>
          <w:sz w:val="24"/>
          <w:szCs w:val="24"/>
        </w:rPr>
        <w:t>Mosaica</w:t>
      </w:r>
      <w:r w:rsidR="00A5075B" w:rsidRPr="00300642">
        <w:rPr>
          <w:rFonts w:ascii="Times New Roman" w:hAnsi="Times New Roman"/>
          <w:sz w:val="24"/>
          <w:szCs w:val="24"/>
        </w:rPr>
        <w:t xml:space="preserve"> gained better access to PGCPS data systems.</w:t>
      </w:r>
    </w:p>
    <w:p w:rsidR="00A5075B" w:rsidRPr="00300642" w:rsidRDefault="00A5075B" w:rsidP="00385ED0">
      <w:pPr>
        <w:spacing w:after="0"/>
        <w:rPr>
          <w:rFonts w:ascii="Times New Roman" w:hAnsi="Times New Roman"/>
          <w:sz w:val="24"/>
          <w:szCs w:val="24"/>
        </w:rPr>
      </w:pPr>
    </w:p>
    <w:p w:rsidR="00A5075B" w:rsidRPr="00300642" w:rsidRDefault="00290740" w:rsidP="00385ED0">
      <w:pPr>
        <w:spacing w:after="0"/>
        <w:rPr>
          <w:rFonts w:ascii="Times New Roman" w:hAnsi="Times New Roman"/>
          <w:sz w:val="24"/>
          <w:szCs w:val="24"/>
        </w:rPr>
      </w:pPr>
      <w:r>
        <w:rPr>
          <w:rFonts w:ascii="Times New Roman" w:hAnsi="Times New Roman"/>
          <w:sz w:val="24"/>
          <w:szCs w:val="24"/>
        </w:rPr>
        <w:t>A change in Mosaica personnel has le</w:t>
      </w:r>
      <w:r w:rsidR="00A5075B" w:rsidRPr="00300642">
        <w:rPr>
          <w:rFonts w:ascii="Times New Roman" w:hAnsi="Times New Roman"/>
          <w:sz w:val="24"/>
          <w:szCs w:val="24"/>
        </w:rPr>
        <w:t xml:space="preserve">d </w:t>
      </w:r>
      <w:r w:rsidR="00775F5F" w:rsidRPr="00300642">
        <w:rPr>
          <w:rFonts w:ascii="Times New Roman" w:hAnsi="Times New Roman"/>
          <w:sz w:val="24"/>
          <w:szCs w:val="24"/>
        </w:rPr>
        <w:t>to more effective communication</w:t>
      </w:r>
      <w:r w:rsidR="00A5075B" w:rsidRPr="00300642">
        <w:rPr>
          <w:rFonts w:ascii="Times New Roman" w:hAnsi="Times New Roman"/>
          <w:sz w:val="24"/>
          <w:szCs w:val="24"/>
        </w:rPr>
        <w:t xml:space="preserve"> between MTP and PGCPS.</w:t>
      </w:r>
    </w:p>
    <w:p w:rsidR="00740DE4" w:rsidRPr="004F3470" w:rsidRDefault="00740DE4" w:rsidP="00385ED0">
      <w:pPr>
        <w:spacing w:after="0"/>
        <w:rPr>
          <w:rFonts w:ascii="Times New Roman" w:hAnsi="Times New Roman"/>
          <w:b/>
          <w:color w:val="943634" w:themeColor="accent2" w:themeShade="BF"/>
        </w:rPr>
      </w:pPr>
    </w:p>
    <w:p w:rsidR="00104BA7" w:rsidRDefault="00104BA7" w:rsidP="005F4F0B">
      <w:pPr>
        <w:spacing w:after="0"/>
        <w:rPr>
          <w:rFonts w:ascii="Times New Roman" w:hAnsi="Times New Roman"/>
          <w:b/>
          <w:sz w:val="24"/>
          <w:szCs w:val="24"/>
        </w:rPr>
      </w:pPr>
      <w:r>
        <w:rPr>
          <w:rFonts w:ascii="Times New Roman" w:hAnsi="Times New Roman"/>
          <w:b/>
          <w:sz w:val="24"/>
          <w:szCs w:val="24"/>
        </w:rPr>
        <w:t>Third Quarter</w:t>
      </w:r>
    </w:p>
    <w:p w:rsidR="00104BA7" w:rsidRPr="009A2BE6" w:rsidRDefault="00CA7B52" w:rsidP="005F4F0B">
      <w:pPr>
        <w:spacing w:after="0"/>
        <w:rPr>
          <w:rFonts w:ascii="Times New Roman" w:hAnsi="Times New Roman"/>
          <w:sz w:val="24"/>
          <w:szCs w:val="24"/>
        </w:rPr>
      </w:pPr>
      <w:r w:rsidRPr="009A2BE6">
        <w:rPr>
          <w:rFonts w:ascii="Times New Roman" w:hAnsi="Times New Roman"/>
          <w:sz w:val="24"/>
          <w:szCs w:val="24"/>
        </w:rPr>
        <w:t>The bi-weekly meetings with Principals, PGCPS Turnaround Director and Mosaica Turnaround Partners have strengthened the communication between all stakeholders. These meetings have given us a clear focus on the expectations as it relates to the imple</w:t>
      </w:r>
      <w:r w:rsidR="007303E6" w:rsidRPr="009A2BE6">
        <w:rPr>
          <w:rFonts w:ascii="Times New Roman" w:hAnsi="Times New Roman"/>
          <w:sz w:val="24"/>
          <w:szCs w:val="24"/>
        </w:rPr>
        <w:t>mentation of the deliverables. We now have a clear focus on what the work should manifest and have a reason</w:t>
      </w:r>
      <w:r w:rsidR="00724F4B" w:rsidRPr="009A2BE6">
        <w:rPr>
          <w:rFonts w:ascii="Times New Roman" w:hAnsi="Times New Roman"/>
          <w:sz w:val="24"/>
          <w:szCs w:val="24"/>
        </w:rPr>
        <w:t>able</w:t>
      </w:r>
      <w:r w:rsidR="007303E6" w:rsidRPr="009A2BE6">
        <w:rPr>
          <w:rFonts w:ascii="Times New Roman" w:hAnsi="Times New Roman"/>
          <w:sz w:val="24"/>
          <w:szCs w:val="24"/>
        </w:rPr>
        <w:t xml:space="preserve"> timeline for successful completion of each of the deliverables.</w:t>
      </w:r>
    </w:p>
    <w:p w:rsidR="007303E6" w:rsidRPr="009A2BE6" w:rsidRDefault="007303E6" w:rsidP="005F4F0B">
      <w:pPr>
        <w:spacing w:after="0"/>
        <w:rPr>
          <w:rFonts w:ascii="Times New Roman" w:hAnsi="Times New Roman"/>
          <w:sz w:val="24"/>
          <w:szCs w:val="24"/>
        </w:rPr>
      </w:pPr>
    </w:p>
    <w:p w:rsidR="00724F4B" w:rsidRPr="009A2BE6" w:rsidRDefault="007303E6" w:rsidP="005F4F0B">
      <w:pPr>
        <w:spacing w:after="0"/>
        <w:rPr>
          <w:rFonts w:ascii="Times New Roman" w:hAnsi="Times New Roman"/>
          <w:sz w:val="24"/>
          <w:szCs w:val="24"/>
        </w:rPr>
      </w:pPr>
      <w:r w:rsidRPr="009A2BE6">
        <w:rPr>
          <w:rFonts w:ascii="Times New Roman" w:hAnsi="Times New Roman"/>
          <w:sz w:val="24"/>
          <w:szCs w:val="24"/>
        </w:rPr>
        <w:t xml:space="preserve">Additionally, the weekly meetings between Principals and Project Manager have proven to be productive.  These meeting have improved the relationship and collaboration between both parties. </w:t>
      </w:r>
      <w:r w:rsidR="00724F4B" w:rsidRPr="009A2BE6">
        <w:rPr>
          <w:rFonts w:ascii="Times New Roman" w:hAnsi="Times New Roman"/>
          <w:sz w:val="24"/>
          <w:szCs w:val="24"/>
        </w:rPr>
        <w:t>Furthermore</w:t>
      </w:r>
      <w:r w:rsidRPr="009A2BE6">
        <w:rPr>
          <w:rFonts w:ascii="Times New Roman" w:hAnsi="Times New Roman"/>
          <w:sz w:val="24"/>
          <w:szCs w:val="24"/>
        </w:rPr>
        <w:t xml:space="preserve">, the faculty and staff at both schools are becoming aware of the partnership and are becoming comfortable with </w:t>
      </w:r>
      <w:r w:rsidR="00724F4B" w:rsidRPr="009A2BE6">
        <w:rPr>
          <w:rFonts w:ascii="Times New Roman" w:hAnsi="Times New Roman"/>
          <w:sz w:val="24"/>
          <w:szCs w:val="24"/>
        </w:rPr>
        <w:t xml:space="preserve">the Mosaica team as many staff have reached out for professional assistance and guidance on several occasions. </w:t>
      </w:r>
    </w:p>
    <w:p w:rsidR="007303E6" w:rsidRPr="00104BA7" w:rsidRDefault="007303E6" w:rsidP="005F4F0B">
      <w:pPr>
        <w:spacing w:after="0"/>
        <w:rPr>
          <w:rFonts w:ascii="Times New Roman" w:hAnsi="Times New Roman"/>
          <w:sz w:val="24"/>
          <w:szCs w:val="24"/>
        </w:rPr>
      </w:pPr>
      <w:r>
        <w:rPr>
          <w:rFonts w:ascii="Times New Roman" w:hAnsi="Times New Roman"/>
          <w:sz w:val="24"/>
          <w:szCs w:val="24"/>
        </w:rPr>
        <w:t xml:space="preserve">     </w:t>
      </w:r>
    </w:p>
    <w:p w:rsidR="0005496B" w:rsidRPr="00727BAE" w:rsidRDefault="0005496B" w:rsidP="005F4F0B">
      <w:pPr>
        <w:spacing w:after="0"/>
        <w:rPr>
          <w:rFonts w:ascii="Times New Roman" w:hAnsi="Times New Roman"/>
          <w:b/>
          <w:sz w:val="28"/>
          <w:szCs w:val="28"/>
          <w:u w:val="single"/>
        </w:rPr>
      </w:pPr>
      <w:r w:rsidRPr="00727BAE">
        <w:rPr>
          <w:rFonts w:ascii="Times New Roman" w:hAnsi="Times New Roman"/>
          <w:b/>
          <w:sz w:val="28"/>
          <w:szCs w:val="28"/>
          <w:u w:val="single"/>
        </w:rPr>
        <w:t>I</w:t>
      </w:r>
      <w:r>
        <w:rPr>
          <w:rFonts w:ascii="Times New Roman" w:hAnsi="Times New Roman"/>
          <w:b/>
          <w:sz w:val="28"/>
          <w:szCs w:val="28"/>
          <w:u w:val="single"/>
        </w:rPr>
        <w:t xml:space="preserve"> </w:t>
      </w:r>
      <w:r w:rsidRPr="00727BAE">
        <w:rPr>
          <w:rFonts w:ascii="Times New Roman" w:hAnsi="Times New Roman"/>
          <w:b/>
          <w:sz w:val="28"/>
          <w:szCs w:val="28"/>
          <w:u w:val="single"/>
        </w:rPr>
        <w:t>B.  Areas for Improvement:</w:t>
      </w:r>
    </w:p>
    <w:p w:rsidR="004F3470" w:rsidRPr="00290740" w:rsidRDefault="004F3470" w:rsidP="004F3470">
      <w:pPr>
        <w:spacing w:after="0"/>
        <w:rPr>
          <w:rFonts w:ascii="Times New Roman" w:hAnsi="Times New Roman"/>
          <w:b/>
          <w:sz w:val="24"/>
          <w:szCs w:val="24"/>
        </w:rPr>
      </w:pPr>
      <w:r w:rsidRPr="00290740">
        <w:rPr>
          <w:rFonts w:ascii="Times New Roman" w:hAnsi="Times New Roman"/>
          <w:b/>
          <w:sz w:val="24"/>
          <w:szCs w:val="24"/>
        </w:rPr>
        <w:t>First Quarter</w:t>
      </w:r>
    </w:p>
    <w:p w:rsidR="004F3470" w:rsidRPr="00290740" w:rsidRDefault="004F3470" w:rsidP="004F3470">
      <w:pPr>
        <w:spacing w:after="0"/>
        <w:rPr>
          <w:rFonts w:ascii="Times New Roman" w:hAnsi="Times New Roman"/>
          <w:sz w:val="24"/>
          <w:szCs w:val="24"/>
        </w:rPr>
      </w:pPr>
    </w:p>
    <w:p w:rsidR="002A3A45" w:rsidRPr="00290740" w:rsidRDefault="005C4169" w:rsidP="002A3A45">
      <w:pPr>
        <w:spacing w:after="0"/>
        <w:rPr>
          <w:rFonts w:ascii="Times New Roman" w:hAnsi="Times New Roman"/>
          <w:b/>
          <w:color w:val="00B050"/>
          <w:sz w:val="24"/>
          <w:szCs w:val="24"/>
        </w:rPr>
      </w:pPr>
      <w:r w:rsidRPr="00290740">
        <w:rPr>
          <w:rFonts w:ascii="Times New Roman" w:hAnsi="Times New Roman"/>
          <w:sz w:val="24"/>
          <w:szCs w:val="24"/>
        </w:rPr>
        <w:t xml:space="preserve">As with any newly formed partnership, the collaboration between PGCPS and Mosaica has been slow to develop. </w:t>
      </w:r>
      <w:r w:rsidR="00290740" w:rsidRPr="00290740">
        <w:rPr>
          <w:rFonts w:ascii="Times New Roman" w:hAnsi="Times New Roman"/>
          <w:sz w:val="24"/>
          <w:szCs w:val="24"/>
        </w:rPr>
        <w:t>According to Mosaica, the transition to a new school system and individual personnel in each school lasted longer than expected and access to school-wide data systems was difficult to initiate.</w:t>
      </w:r>
      <w:r w:rsidR="00290740" w:rsidRPr="00290740">
        <w:rPr>
          <w:rFonts w:ascii="Times New Roman" w:hAnsi="Times New Roman"/>
          <w:b/>
          <w:color w:val="943634" w:themeColor="accent2" w:themeShade="BF"/>
          <w:sz w:val="24"/>
          <w:szCs w:val="24"/>
        </w:rPr>
        <w:t xml:space="preserve">  </w:t>
      </w:r>
    </w:p>
    <w:p w:rsidR="005C4169" w:rsidRPr="00290740" w:rsidRDefault="005C4169" w:rsidP="004F3470">
      <w:pPr>
        <w:spacing w:after="0"/>
        <w:rPr>
          <w:rFonts w:ascii="Times New Roman" w:hAnsi="Times New Roman"/>
          <w:color w:val="FF0000"/>
          <w:sz w:val="24"/>
          <w:szCs w:val="24"/>
        </w:rPr>
      </w:pPr>
    </w:p>
    <w:p w:rsidR="00E07657" w:rsidRPr="00290740" w:rsidRDefault="00E07657" w:rsidP="004F3470">
      <w:pPr>
        <w:spacing w:after="0"/>
        <w:rPr>
          <w:rFonts w:ascii="Times New Roman" w:hAnsi="Times New Roman"/>
          <w:sz w:val="24"/>
          <w:szCs w:val="24"/>
        </w:rPr>
      </w:pPr>
      <w:r w:rsidRPr="00290740">
        <w:rPr>
          <w:rFonts w:ascii="Times New Roman" w:hAnsi="Times New Roman"/>
          <w:sz w:val="24"/>
          <w:szCs w:val="24"/>
        </w:rPr>
        <w:t xml:space="preserve">Selection of the additional positions was delayed due to the Notice of Grant Award.  As a result, </w:t>
      </w:r>
      <w:r w:rsidR="00300642" w:rsidRPr="00290740">
        <w:rPr>
          <w:rFonts w:ascii="Times New Roman" w:hAnsi="Times New Roman"/>
          <w:sz w:val="24"/>
          <w:szCs w:val="24"/>
        </w:rPr>
        <w:t>the work of the school level coaches, math, reading, and data, did not begin until the end of October.</w:t>
      </w:r>
      <w:r w:rsidRPr="00290740">
        <w:rPr>
          <w:rFonts w:ascii="Times New Roman" w:hAnsi="Times New Roman"/>
          <w:sz w:val="24"/>
          <w:szCs w:val="24"/>
        </w:rPr>
        <w:t xml:space="preserve">  The same holds true for behavior specialist and parent intervention specialist.</w:t>
      </w:r>
    </w:p>
    <w:p w:rsidR="00300642" w:rsidRPr="00290740" w:rsidRDefault="00300642" w:rsidP="004F3470">
      <w:pPr>
        <w:spacing w:after="0"/>
        <w:rPr>
          <w:rFonts w:ascii="Times New Roman" w:hAnsi="Times New Roman"/>
          <w:sz w:val="24"/>
          <w:szCs w:val="24"/>
        </w:rPr>
      </w:pPr>
    </w:p>
    <w:p w:rsidR="004F3470" w:rsidRPr="00290740" w:rsidRDefault="004F3470" w:rsidP="004F3470">
      <w:pPr>
        <w:spacing w:after="0"/>
        <w:rPr>
          <w:rFonts w:ascii="Times New Roman" w:hAnsi="Times New Roman"/>
          <w:b/>
          <w:sz w:val="24"/>
          <w:szCs w:val="24"/>
        </w:rPr>
      </w:pPr>
      <w:r w:rsidRPr="00290740">
        <w:rPr>
          <w:rFonts w:ascii="Times New Roman" w:hAnsi="Times New Roman"/>
          <w:b/>
          <w:sz w:val="24"/>
          <w:szCs w:val="24"/>
        </w:rPr>
        <w:t xml:space="preserve">Second Quarter </w:t>
      </w:r>
    </w:p>
    <w:p w:rsidR="004F3470" w:rsidRPr="00290740" w:rsidRDefault="004F3470" w:rsidP="004F3470">
      <w:pPr>
        <w:spacing w:after="0"/>
        <w:rPr>
          <w:rFonts w:ascii="Times New Roman" w:hAnsi="Times New Roman"/>
          <w:sz w:val="24"/>
          <w:szCs w:val="24"/>
        </w:rPr>
      </w:pPr>
    </w:p>
    <w:p w:rsidR="004F3470" w:rsidRPr="00290740" w:rsidRDefault="00300642" w:rsidP="004F3470">
      <w:pPr>
        <w:spacing w:after="0"/>
        <w:rPr>
          <w:rFonts w:ascii="Times New Roman" w:hAnsi="Times New Roman"/>
          <w:sz w:val="24"/>
          <w:szCs w:val="24"/>
        </w:rPr>
      </w:pPr>
      <w:r w:rsidRPr="00290740">
        <w:rPr>
          <w:rFonts w:ascii="Times New Roman" w:hAnsi="Times New Roman"/>
          <w:sz w:val="24"/>
          <w:szCs w:val="24"/>
        </w:rPr>
        <w:t xml:space="preserve">PGCPS and Mosaica worked collaboratively to restructure the implementation of deliverables.  </w:t>
      </w:r>
      <w:r w:rsidR="00290740" w:rsidRPr="00290740">
        <w:rPr>
          <w:rFonts w:ascii="Times New Roman" w:hAnsi="Times New Roman"/>
          <w:sz w:val="24"/>
          <w:szCs w:val="24"/>
        </w:rPr>
        <w:t>Furthermore</w:t>
      </w:r>
      <w:r w:rsidRPr="00290740">
        <w:rPr>
          <w:rFonts w:ascii="Times New Roman" w:hAnsi="Times New Roman"/>
          <w:sz w:val="24"/>
          <w:szCs w:val="24"/>
        </w:rPr>
        <w:t xml:space="preserve">, </w:t>
      </w:r>
      <w:r w:rsidR="00591C5A" w:rsidRPr="00290740">
        <w:rPr>
          <w:rFonts w:ascii="Times New Roman" w:hAnsi="Times New Roman"/>
          <w:sz w:val="24"/>
          <w:szCs w:val="24"/>
        </w:rPr>
        <w:t xml:space="preserve">vice president Dr. John Q. Porter, Chief Academic Officer, Dr. Duane Arbogast, and the Turnaround Director met November 22, 2012 to discuss </w:t>
      </w:r>
      <w:r w:rsidR="00AF2426" w:rsidRPr="00290740">
        <w:rPr>
          <w:rFonts w:ascii="Times New Roman" w:hAnsi="Times New Roman"/>
          <w:sz w:val="24"/>
          <w:szCs w:val="24"/>
        </w:rPr>
        <w:t xml:space="preserve">PGCPS’ ongoing concerns with the </w:t>
      </w:r>
      <w:r w:rsidR="00AF2426" w:rsidRPr="00290740">
        <w:rPr>
          <w:rFonts w:ascii="Times New Roman" w:hAnsi="Times New Roman"/>
          <w:sz w:val="24"/>
          <w:szCs w:val="24"/>
        </w:rPr>
        <w:lastRenderedPageBreak/>
        <w:t>implementation of deliverables as stipulated in the contract for serv</w:t>
      </w:r>
      <w:r w:rsidR="00022E34" w:rsidRPr="00290740">
        <w:rPr>
          <w:rFonts w:ascii="Times New Roman" w:hAnsi="Times New Roman"/>
          <w:sz w:val="24"/>
          <w:szCs w:val="24"/>
        </w:rPr>
        <w:t>ices.  During this meeting, both parties agreed a replacement for the current leadership coach was in order.</w:t>
      </w:r>
    </w:p>
    <w:p w:rsidR="004F3470" w:rsidRPr="00290740" w:rsidRDefault="004F3470" w:rsidP="004F3470">
      <w:pPr>
        <w:spacing w:after="0"/>
        <w:rPr>
          <w:rFonts w:ascii="Times New Roman" w:hAnsi="Times New Roman"/>
          <w:b/>
          <w:color w:val="943634" w:themeColor="accent2" w:themeShade="BF"/>
          <w:sz w:val="24"/>
          <w:szCs w:val="24"/>
        </w:rPr>
      </w:pPr>
    </w:p>
    <w:p w:rsidR="000D0563" w:rsidRPr="00290740" w:rsidRDefault="00290740" w:rsidP="00385ED0">
      <w:pPr>
        <w:spacing w:after="0"/>
        <w:rPr>
          <w:rFonts w:ascii="Times New Roman" w:hAnsi="Times New Roman"/>
          <w:sz w:val="24"/>
          <w:szCs w:val="24"/>
        </w:rPr>
      </w:pPr>
      <w:r w:rsidRPr="00290740">
        <w:rPr>
          <w:rFonts w:ascii="Times New Roman" w:hAnsi="Times New Roman"/>
          <w:sz w:val="24"/>
          <w:szCs w:val="24"/>
        </w:rPr>
        <w:t>According to Mosaica, t</w:t>
      </w:r>
      <w:r w:rsidR="000D0563" w:rsidRPr="00290740">
        <w:rPr>
          <w:rFonts w:ascii="Times New Roman" w:hAnsi="Times New Roman"/>
          <w:sz w:val="24"/>
          <w:szCs w:val="24"/>
        </w:rPr>
        <w:t>he challenge in the second quarter mainly revolved around gaining ground on implementation and defining further the relationship between PGCPS and MTP.  Both parties have agreed to an implementation timeline and regular meetings have been scheduled to monitor activities.</w:t>
      </w:r>
    </w:p>
    <w:p w:rsidR="00673F45" w:rsidRDefault="00673F45" w:rsidP="00727BAE">
      <w:pPr>
        <w:rPr>
          <w:rFonts w:ascii="Times New Roman" w:hAnsi="Times New Roman"/>
          <w:sz w:val="24"/>
          <w:szCs w:val="24"/>
        </w:rPr>
      </w:pPr>
    </w:p>
    <w:p w:rsidR="00104BA7" w:rsidRDefault="00104BA7" w:rsidP="00104BA7">
      <w:pPr>
        <w:spacing w:after="0" w:line="240" w:lineRule="auto"/>
        <w:rPr>
          <w:rFonts w:ascii="Times New Roman" w:hAnsi="Times New Roman"/>
          <w:b/>
          <w:sz w:val="24"/>
          <w:szCs w:val="24"/>
        </w:rPr>
      </w:pPr>
      <w:r>
        <w:rPr>
          <w:rFonts w:ascii="Times New Roman" w:hAnsi="Times New Roman"/>
          <w:b/>
          <w:sz w:val="24"/>
          <w:szCs w:val="24"/>
        </w:rPr>
        <w:t>Third Quarter</w:t>
      </w:r>
    </w:p>
    <w:p w:rsidR="00104BA7" w:rsidRDefault="00104BA7" w:rsidP="00104BA7">
      <w:pPr>
        <w:spacing w:after="0" w:line="240" w:lineRule="auto"/>
        <w:rPr>
          <w:rFonts w:ascii="Times New Roman" w:hAnsi="Times New Roman"/>
          <w:b/>
          <w:sz w:val="24"/>
          <w:szCs w:val="24"/>
        </w:rPr>
      </w:pPr>
    </w:p>
    <w:p w:rsidR="00104BA7" w:rsidRDefault="00104BA7" w:rsidP="00104BA7">
      <w:pPr>
        <w:spacing w:after="0" w:line="240" w:lineRule="auto"/>
        <w:rPr>
          <w:rFonts w:ascii="Times New Roman" w:hAnsi="Times New Roman"/>
          <w:sz w:val="24"/>
          <w:szCs w:val="24"/>
        </w:rPr>
      </w:pPr>
      <w:r>
        <w:rPr>
          <w:rFonts w:ascii="Times New Roman" w:hAnsi="Times New Roman"/>
          <w:sz w:val="24"/>
          <w:szCs w:val="24"/>
        </w:rPr>
        <w:t>Consistent with SIG I schools, staffing is an area of concern.  G</w:t>
      </w:r>
      <w:r w:rsidRPr="00104BA7">
        <w:rPr>
          <w:rFonts w:ascii="Times New Roman" w:hAnsi="Times New Roman"/>
          <w:sz w:val="24"/>
          <w:szCs w:val="24"/>
        </w:rPr>
        <w:t>reat strides were made in the area of financial and non-financial incentives for teachers.  Several meetings were held with PGCEA and PGCPS to discuss this area which culminated in administering the PGCPS-PGCEA Teacher Satisfaction and Motivation Questionnaire (Results of the survey are attached).  Additionally, staff from Human Capital, Dr. Arbogast, TA Director, and PGCEA President, Kenneth Haines participated in a one-day trip to Chicago Public Schools to build the District’s and Association’s capacity around school Turnaround.</w:t>
      </w:r>
    </w:p>
    <w:p w:rsidR="00311829" w:rsidRDefault="00311829" w:rsidP="00104BA7">
      <w:pPr>
        <w:spacing w:after="0" w:line="240" w:lineRule="auto"/>
        <w:rPr>
          <w:rFonts w:ascii="Times New Roman" w:hAnsi="Times New Roman"/>
          <w:sz w:val="24"/>
          <w:szCs w:val="24"/>
        </w:rPr>
      </w:pPr>
    </w:p>
    <w:p w:rsidR="00311829" w:rsidRPr="009A2BE6" w:rsidRDefault="00311829" w:rsidP="00104BA7">
      <w:pPr>
        <w:spacing w:after="0" w:line="240" w:lineRule="auto"/>
        <w:rPr>
          <w:rFonts w:ascii="Times New Roman" w:hAnsi="Times New Roman"/>
          <w:sz w:val="24"/>
          <w:szCs w:val="24"/>
        </w:rPr>
      </w:pPr>
      <w:r w:rsidRPr="009A2BE6">
        <w:rPr>
          <w:rFonts w:ascii="Times New Roman" w:hAnsi="Times New Roman"/>
          <w:sz w:val="24"/>
          <w:szCs w:val="24"/>
        </w:rPr>
        <w:t>Mosaica will create a professional development calendar for the upcoming school year for both schools based on t</w:t>
      </w:r>
      <w:r w:rsidR="001534C1" w:rsidRPr="009A2BE6">
        <w:rPr>
          <w:rFonts w:ascii="Times New Roman" w:hAnsi="Times New Roman"/>
          <w:sz w:val="24"/>
          <w:szCs w:val="24"/>
        </w:rPr>
        <w:t xml:space="preserve">he results from the surveys and </w:t>
      </w:r>
      <w:r w:rsidRPr="009A2BE6">
        <w:rPr>
          <w:rFonts w:ascii="Times New Roman" w:hAnsi="Times New Roman"/>
          <w:sz w:val="24"/>
          <w:szCs w:val="24"/>
        </w:rPr>
        <w:t>the individualized professional development plan</w:t>
      </w:r>
      <w:r w:rsidR="001534C1" w:rsidRPr="009A2BE6">
        <w:rPr>
          <w:rFonts w:ascii="Times New Roman" w:hAnsi="Times New Roman"/>
          <w:sz w:val="24"/>
          <w:szCs w:val="24"/>
        </w:rPr>
        <w:t>s</w:t>
      </w:r>
      <w:r w:rsidRPr="009A2BE6">
        <w:rPr>
          <w:rFonts w:ascii="Times New Roman" w:hAnsi="Times New Roman"/>
          <w:sz w:val="24"/>
          <w:szCs w:val="24"/>
        </w:rPr>
        <w:t xml:space="preserve"> for teachers. It will be our goal to provide highly effective professional development that will engage </w:t>
      </w:r>
      <w:r w:rsidR="001534C1" w:rsidRPr="009A2BE6">
        <w:rPr>
          <w:rFonts w:ascii="Times New Roman" w:hAnsi="Times New Roman"/>
          <w:sz w:val="24"/>
          <w:szCs w:val="24"/>
        </w:rPr>
        <w:t xml:space="preserve">the participants. Mosaica will allow participants to provide feedback after each professional development session to rate its effectiveness. If needed, Mosaica will modify its presentations to meet the needs of the staff at both schools.  Additionally, this feedback will be shared with the Principals and Director of Turnaround in a disaggregated format. </w:t>
      </w:r>
      <w:r w:rsidRPr="009A2BE6">
        <w:rPr>
          <w:rFonts w:ascii="Times New Roman" w:hAnsi="Times New Roman"/>
          <w:sz w:val="24"/>
          <w:szCs w:val="24"/>
        </w:rPr>
        <w:t xml:space="preserve"> </w:t>
      </w:r>
    </w:p>
    <w:p w:rsidR="00104BA7" w:rsidRPr="009A2BE6" w:rsidRDefault="00104BA7" w:rsidP="00104BA7">
      <w:pPr>
        <w:spacing w:after="0" w:line="240" w:lineRule="auto"/>
        <w:rPr>
          <w:rFonts w:ascii="Times New Roman" w:hAnsi="Times New Roman"/>
          <w:b/>
          <w:sz w:val="24"/>
          <w:szCs w:val="24"/>
        </w:rPr>
      </w:pPr>
    </w:p>
    <w:p w:rsidR="0005496B" w:rsidRPr="00E22461" w:rsidRDefault="0005496B" w:rsidP="00727BAE">
      <w:pPr>
        <w:rPr>
          <w:rFonts w:ascii="Times New Roman" w:hAnsi="Times New Roman"/>
          <w:b/>
          <w:sz w:val="28"/>
          <w:szCs w:val="28"/>
          <w:u w:val="single"/>
        </w:rPr>
      </w:pPr>
      <w:r w:rsidRPr="00E22461">
        <w:rPr>
          <w:rFonts w:ascii="Times New Roman" w:hAnsi="Times New Roman"/>
          <w:b/>
          <w:sz w:val="28"/>
          <w:szCs w:val="28"/>
          <w:u w:val="single"/>
        </w:rPr>
        <w:t>Part II.  Monitoring</w:t>
      </w:r>
    </w:p>
    <w:p w:rsidR="0005496B" w:rsidRPr="007A67AE" w:rsidRDefault="0005496B" w:rsidP="00BF2E58">
      <w:pPr>
        <w:rPr>
          <w:rFonts w:ascii="Times New Roman" w:hAnsi="Times New Roman"/>
          <w:b/>
          <w:sz w:val="24"/>
          <w:szCs w:val="24"/>
          <w:u w:val="single"/>
        </w:rPr>
      </w:pPr>
      <w:r w:rsidRPr="007A67AE">
        <w:rPr>
          <w:rFonts w:ascii="Times New Roman" w:hAnsi="Times New Roman"/>
          <w:b/>
          <w:sz w:val="24"/>
          <w:szCs w:val="24"/>
          <w:u w:val="single"/>
        </w:rPr>
        <w:t>II A.  Turnaround Dire</w:t>
      </w:r>
      <w:r w:rsidR="00673F45">
        <w:rPr>
          <w:rFonts w:ascii="Times New Roman" w:hAnsi="Times New Roman"/>
          <w:b/>
          <w:sz w:val="24"/>
          <w:szCs w:val="24"/>
          <w:u w:val="single"/>
        </w:rPr>
        <w:t>ctor’s Monitoring of SIG Restart Partner</w:t>
      </w:r>
    </w:p>
    <w:p w:rsidR="00462887" w:rsidRPr="00022E34" w:rsidRDefault="005C4169" w:rsidP="005C4169">
      <w:pPr>
        <w:spacing w:after="0"/>
        <w:rPr>
          <w:rFonts w:ascii="Times New Roman" w:hAnsi="Times New Roman"/>
          <w:sz w:val="24"/>
          <w:szCs w:val="24"/>
        </w:rPr>
      </w:pPr>
      <w:r w:rsidRPr="00022E34">
        <w:rPr>
          <w:rFonts w:ascii="Times New Roman" w:hAnsi="Times New Roman"/>
          <w:sz w:val="24"/>
          <w:szCs w:val="24"/>
        </w:rPr>
        <w:t>The Turnaround Director meets, at a minimum, once a month with the restart partner to be provided status updates on the deliverables provided in the agreement.</w:t>
      </w:r>
      <w:r w:rsidR="00BF2E58" w:rsidRPr="00022E34">
        <w:rPr>
          <w:rFonts w:ascii="Times New Roman" w:hAnsi="Times New Roman"/>
          <w:sz w:val="24"/>
          <w:szCs w:val="24"/>
        </w:rPr>
        <w:t xml:space="preserve">  Most meetings have been held in person.  There have been a few occasions in which conference calls were conducted in lieu of face-to-face meetings.</w:t>
      </w:r>
    </w:p>
    <w:p w:rsidR="00022E34" w:rsidRPr="00022E34" w:rsidRDefault="00022E34" w:rsidP="005C4169">
      <w:pPr>
        <w:spacing w:after="0"/>
        <w:rPr>
          <w:rFonts w:ascii="Times New Roman" w:hAnsi="Times New Roman"/>
          <w:sz w:val="24"/>
          <w:szCs w:val="24"/>
        </w:rPr>
      </w:pPr>
    </w:p>
    <w:p w:rsidR="00022E34" w:rsidRPr="00022E34" w:rsidRDefault="00022E34" w:rsidP="005C4169">
      <w:pPr>
        <w:spacing w:after="0"/>
        <w:rPr>
          <w:rFonts w:ascii="Times New Roman" w:hAnsi="Times New Roman"/>
          <w:sz w:val="24"/>
          <w:szCs w:val="24"/>
        </w:rPr>
      </w:pPr>
      <w:r w:rsidRPr="00022E34">
        <w:rPr>
          <w:rFonts w:ascii="Times New Roman" w:hAnsi="Times New Roman"/>
          <w:sz w:val="24"/>
          <w:szCs w:val="24"/>
        </w:rPr>
        <w:t>Listed below is a brief synopsis of each meeting:</w:t>
      </w: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t>August 31, 2011</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 xml:space="preserve">Collaborative meeting between MOSAICA, </w:t>
      </w:r>
      <w:r w:rsidR="00290740">
        <w:rPr>
          <w:rFonts w:ascii="Times New Roman" w:hAnsi="Times New Roman"/>
          <w:sz w:val="24"/>
          <w:szCs w:val="24"/>
        </w:rPr>
        <w:t>principals,</w:t>
      </w:r>
      <w:r w:rsidRPr="00022E34">
        <w:rPr>
          <w:rFonts w:ascii="Times New Roman" w:hAnsi="Times New Roman"/>
          <w:sz w:val="24"/>
          <w:szCs w:val="24"/>
        </w:rPr>
        <w:t xml:space="preserve"> and TA Director to chart the course of the year based on the school’s vision and performance data (professional development plan for leadership and professional staff, goal setting, PBIS, etc.</w:t>
      </w:r>
    </w:p>
    <w:p w:rsidR="00022E34" w:rsidRPr="00022E34" w:rsidRDefault="00022E34" w:rsidP="00022E34">
      <w:pPr>
        <w:spacing w:after="0" w:line="240" w:lineRule="auto"/>
        <w:rPr>
          <w:rFonts w:ascii="Times New Roman" w:hAnsi="Times New Roman"/>
          <w:sz w:val="24"/>
          <w:szCs w:val="24"/>
        </w:rPr>
      </w:pPr>
    </w:p>
    <w:p w:rsidR="009A2BE6" w:rsidRDefault="009A2BE6" w:rsidP="00022E34">
      <w:pPr>
        <w:spacing w:after="0" w:line="240" w:lineRule="auto"/>
        <w:rPr>
          <w:rFonts w:ascii="Times New Roman" w:hAnsi="Times New Roman"/>
          <w:b/>
          <w:sz w:val="24"/>
          <w:szCs w:val="24"/>
        </w:rPr>
      </w:pPr>
    </w:p>
    <w:p w:rsidR="009A2BE6" w:rsidRDefault="009A2BE6" w:rsidP="00022E34">
      <w:pPr>
        <w:spacing w:after="0" w:line="240" w:lineRule="auto"/>
        <w:rPr>
          <w:rFonts w:ascii="Times New Roman" w:hAnsi="Times New Roman"/>
          <w:b/>
          <w:sz w:val="24"/>
          <w:szCs w:val="24"/>
        </w:rPr>
      </w:pP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lastRenderedPageBreak/>
        <w:t>September 14, 2011</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This was a collaborative meeting between MOSAICA, principals, and TA Director to finalize the applicant screening and selection process.  Team reviewed resumes (behavior specialist and parent engagement specialist), made recommendations for interviews, developed interview questions and scoring rubric, and scheduled interviews.</w:t>
      </w:r>
    </w:p>
    <w:p w:rsidR="00022E34" w:rsidRPr="00022E34" w:rsidRDefault="00022E34" w:rsidP="00022E34">
      <w:pPr>
        <w:spacing w:after="0" w:line="240" w:lineRule="auto"/>
        <w:rPr>
          <w:rFonts w:ascii="Times New Roman" w:hAnsi="Times New Roman"/>
          <w:sz w:val="24"/>
          <w:szCs w:val="24"/>
        </w:rPr>
      </w:pP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t>September 27, 2011</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Collaborative meeting between MOSAICA, both principals, and TA Director to discuss ELO and Mercury Online implementation:  technical requirements for and management of Mercury Online.</w:t>
      </w:r>
    </w:p>
    <w:p w:rsidR="00022E34" w:rsidRPr="00022E34" w:rsidRDefault="00022E34" w:rsidP="00022E34">
      <w:pPr>
        <w:spacing w:after="0" w:line="240" w:lineRule="auto"/>
        <w:rPr>
          <w:rFonts w:ascii="Times New Roman" w:hAnsi="Times New Roman"/>
          <w:sz w:val="24"/>
          <w:szCs w:val="24"/>
        </w:rPr>
      </w:pP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t>October 10, 2011</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Collaborative meeting between MOSAICA, both principals, and TA Director to share ELO updates for each school.  Implementation status of Mercury Online (a major of component of the ELO) was also discussed and MOSAICA was asked to submit a Mercury Online Implementation Plan by Monday, October 17.</w:t>
      </w:r>
    </w:p>
    <w:p w:rsidR="00022E34" w:rsidRPr="00022E34" w:rsidRDefault="00022E34" w:rsidP="00022E34">
      <w:pPr>
        <w:spacing w:after="0" w:line="240" w:lineRule="auto"/>
        <w:rPr>
          <w:rFonts w:ascii="Times New Roman" w:hAnsi="Times New Roman"/>
          <w:sz w:val="24"/>
          <w:szCs w:val="24"/>
        </w:rPr>
      </w:pP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t>November 22, 2011</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Collaborative meeting between MOSAICA and PGCPS to discuss the status of deliverables as stipulated in the agreement.  During this meeting, both parties agreed to replace the existing leadership coach for the remainder of the school year.</w:t>
      </w:r>
    </w:p>
    <w:p w:rsidR="00022E34" w:rsidRPr="00022E34" w:rsidRDefault="00022E34" w:rsidP="00022E34">
      <w:pPr>
        <w:spacing w:after="0" w:line="240" w:lineRule="auto"/>
        <w:rPr>
          <w:rFonts w:ascii="Times New Roman" w:hAnsi="Times New Roman"/>
          <w:sz w:val="24"/>
          <w:szCs w:val="24"/>
        </w:rPr>
      </w:pP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t>December 5, 2011</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Collaborative meeting between MOSAICA, both principals, and TA Director to discuss the following:  Mercury Online implementation status; MOSAICA’s PD Plan for each school; upcoming 0.5 PD days (1/18; 2/13, 4/18); school-based workshops for teachers (money is available); MOSAICA-Principal partnership meeting schedule; parent-community meetings.  A discussion was also held concerning the need to realign some funds for classroom libraries across content areas and for RELA and math supplies.</w:t>
      </w:r>
    </w:p>
    <w:p w:rsidR="00022E34" w:rsidRPr="00022E34" w:rsidRDefault="00022E34" w:rsidP="00022E34">
      <w:pPr>
        <w:spacing w:after="0" w:line="240" w:lineRule="auto"/>
        <w:rPr>
          <w:rFonts w:ascii="Times New Roman" w:hAnsi="Times New Roman"/>
          <w:sz w:val="24"/>
          <w:szCs w:val="24"/>
        </w:rPr>
      </w:pPr>
    </w:p>
    <w:p w:rsidR="00022E34" w:rsidRPr="00022E34" w:rsidRDefault="00022E34" w:rsidP="00022E34">
      <w:pPr>
        <w:spacing w:after="0" w:line="240" w:lineRule="auto"/>
        <w:rPr>
          <w:rFonts w:ascii="Times New Roman" w:hAnsi="Times New Roman"/>
          <w:b/>
          <w:sz w:val="24"/>
          <w:szCs w:val="24"/>
        </w:rPr>
      </w:pPr>
      <w:r w:rsidRPr="00022E34">
        <w:rPr>
          <w:rFonts w:ascii="Times New Roman" w:hAnsi="Times New Roman"/>
          <w:b/>
          <w:sz w:val="24"/>
          <w:szCs w:val="24"/>
        </w:rPr>
        <w:t>January 9, 2012</w:t>
      </w:r>
    </w:p>
    <w:p w:rsidR="00022E34" w:rsidRPr="00022E34" w:rsidRDefault="00022E34" w:rsidP="00022E34">
      <w:pPr>
        <w:spacing w:after="0" w:line="240" w:lineRule="auto"/>
        <w:rPr>
          <w:rFonts w:ascii="Times New Roman" w:hAnsi="Times New Roman"/>
          <w:sz w:val="24"/>
          <w:szCs w:val="24"/>
        </w:rPr>
      </w:pPr>
      <w:r w:rsidRPr="00022E34">
        <w:rPr>
          <w:rFonts w:ascii="Times New Roman" w:hAnsi="Times New Roman"/>
          <w:sz w:val="24"/>
          <w:szCs w:val="24"/>
        </w:rPr>
        <w:t>Collaborative meeting between MOSAICA, both principals, and TA Director to discuss the MSDE SIG feedback from the first onsite visit, expectations around documentation for the second MSDE visits scheduled for February, and the monitoring tool developed by PGCPS to monitor MOSAICA.  The new MOSAICA Executive Coach (Dr. Robinson who replaced Mr. Gibson) attended this meeting.</w:t>
      </w:r>
    </w:p>
    <w:p w:rsidR="00022E34" w:rsidRDefault="00022E34" w:rsidP="00022E34">
      <w:pPr>
        <w:spacing w:after="0" w:line="240" w:lineRule="auto"/>
      </w:pPr>
    </w:p>
    <w:p w:rsidR="005F305F" w:rsidRDefault="002079BD" w:rsidP="00BF2E58">
      <w:pPr>
        <w:spacing w:after="0"/>
        <w:rPr>
          <w:rFonts w:ascii="Times New Roman" w:hAnsi="Times New Roman"/>
          <w:b/>
          <w:sz w:val="24"/>
          <w:szCs w:val="24"/>
        </w:rPr>
      </w:pPr>
      <w:r>
        <w:rPr>
          <w:rFonts w:ascii="Times New Roman" w:hAnsi="Times New Roman"/>
          <w:b/>
          <w:sz w:val="24"/>
          <w:szCs w:val="24"/>
        </w:rPr>
        <w:t>February 27, 2012</w:t>
      </w:r>
    </w:p>
    <w:p w:rsidR="002079BD" w:rsidRDefault="002079BD" w:rsidP="00BF2E58">
      <w:pPr>
        <w:spacing w:after="0"/>
        <w:rPr>
          <w:rFonts w:ascii="Times New Roman" w:hAnsi="Times New Roman"/>
          <w:sz w:val="24"/>
          <w:szCs w:val="24"/>
        </w:rPr>
      </w:pPr>
      <w:r>
        <w:rPr>
          <w:rFonts w:ascii="Times New Roman" w:hAnsi="Times New Roman"/>
          <w:sz w:val="24"/>
          <w:szCs w:val="24"/>
        </w:rPr>
        <w:t>Collaborative meeting between Mosaica and TA Director.  The crux of the meeting focused on Mercury Online.  Both schools have experienced difficulty with implementing this initiative.  Further discussions were held with the administrator from Mercury Online, Dr. Robinson, Mosaica, and Dr. Arbogast. The remainder of the meeting focused on parent-community meetings, teacher professional development plans, student learning plans, planning for teacher professional development, and coaches meetings.</w:t>
      </w:r>
    </w:p>
    <w:p w:rsidR="002079BD" w:rsidRDefault="002079BD" w:rsidP="00BF2E58">
      <w:pPr>
        <w:spacing w:after="0"/>
        <w:rPr>
          <w:rFonts w:ascii="Times New Roman" w:hAnsi="Times New Roman"/>
          <w:sz w:val="24"/>
          <w:szCs w:val="24"/>
        </w:rPr>
      </w:pPr>
    </w:p>
    <w:p w:rsidR="009A2BE6" w:rsidRDefault="009A2BE6" w:rsidP="00BF2E58">
      <w:pPr>
        <w:spacing w:after="0"/>
        <w:rPr>
          <w:rFonts w:ascii="Times New Roman" w:hAnsi="Times New Roman"/>
          <w:b/>
          <w:sz w:val="24"/>
          <w:szCs w:val="24"/>
        </w:rPr>
      </w:pPr>
    </w:p>
    <w:p w:rsidR="009A2BE6" w:rsidRDefault="009A2BE6" w:rsidP="00BF2E58">
      <w:pPr>
        <w:spacing w:after="0"/>
        <w:rPr>
          <w:rFonts w:ascii="Times New Roman" w:hAnsi="Times New Roman"/>
          <w:b/>
          <w:sz w:val="24"/>
          <w:szCs w:val="24"/>
        </w:rPr>
      </w:pPr>
    </w:p>
    <w:p w:rsidR="002079BD" w:rsidRPr="002079BD" w:rsidRDefault="002079BD" w:rsidP="00BF2E58">
      <w:pPr>
        <w:spacing w:after="0"/>
        <w:rPr>
          <w:rFonts w:ascii="Times New Roman" w:hAnsi="Times New Roman"/>
          <w:b/>
          <w:sz w:val="24"/>
          <w:szCs w:val="24"/>
        </w:rPr>
      </w:pPr>
      <w:r>
        <w:rPr>
          <w:rFonts w:ascii="Times New Roman" w:hAnsi="Times New Roman"/>
          <w:b/>
          <w:sz w:val="24"/>
          <w:szCs w:val="24"/>
        </w:rPr>
        <w:lastRenderedPageBreak/>
        <w:t xml:space="preserve">March </w:t>
      </w:r>
      <w:r w:rsidR="00184F10">
        <w:rPr>
          <w:rFonts w:ascii="Times New Roman" w:hAnsi="Times New Roman"/>
          <w:b/>
          <w:sz w:val="24"/>
          <w:szCs w:val="24"/>
        </w:rPr>
        <w:t>8, 2012</w:t>
      </w:r>
    </w:p>
    <w:p w:rsidR="002079BD" w:rsidRDefault="00184F10" w:rsidP="00BF2E58">
      <w:pPr>
        <w:spacing w:after="0"/>
        <w:rPr>
          <w:rFonts w:ascii="Times New Roman" w:hAnsi="Times New Roman"/>
          <w:sz w:val="24"/>
          <w:szCs w:val="24"/>
        </w:rPr>
      </w:pPr>
      <w:r>
        <w:rPr>
          <w:rFonts w:ascii="Times New Roman" w:hAnsi="Times New Roman"/>
          <w:sz w:val="24"/>
          <w:szCs w:val="24"/>
        </w:rPr>
        <w:t xml:space="preserve">The Mosaica team and TA Director met to discuss the following items: </w:t>
      </w:r>
    </w:p>
    <w:p w:rsidR="00184F10" w:rsidRDefault="00184F10" w:rsidP="00184F10">
      <w:pPr>
        <w:pStyle w:val="ListParagraph"/>
        <w:numPr>
          <w:ilvl w:val="0"/>
          <w:numId w:val="32"/>
        </w:numPr>
        <w:spacing w:after="0"/>
        <w:rPr>
          <w:rFonts w:ascii="Times New Roman" w:hAnsi="Times New Roman"/>
          <w:sz w:val="24"/>
          <w:szCs w:val="24"/>
        </w:rPr>
      </w:pPr>
      <w:r>
        <w:rPr>
          <w:rFonts w:ascii="Times New Roman" w:hAnsi="Times New Roman"/>
          <w:sz w:val="24"/>
          <w:szCs w:val="24"/>
        </w:rPr>
        <w:t>Partnership Relations</w:t>
      </w:r>
    </w:p>
    <w:p w:rsidR="00184F10" w:rsidRDefault="00184F10" w:rsidP="00184F10">
      <w:pPr>
        <w:pStyle w:val="ListParagraph"/>
        <w:numPr>
          <w:ilvl w:val="0"/>
          <w:numId w:val="32"/>
        </w:numPr>
        <w:spacing w:after="0"/>
        <w:rPr>
          <w:rFonts w:ascii="Times New Roman" w:hAnsi="Times New Roman"/>
          <w:sz w:val="24"/>
          <w:szCs w:val="24"/>
        </w:rPr>
      </w:pPr>
      <w:r>
        <w:rPr>
          <w:rFonts w:ascii="Times New Roman" w:hAnsi="Times New Roman"/>
          <w:sz w:val="24"/>
          <w:szCs w:val="24"/>
        </w:rPr>
        <w:t>Planning Meetings</w:t>
      </w:r>
    </w:p>
    <w:p w:rsidR="00184F10" w:rsidRDefault="00184F10" w:rsidP="00184F10">
      <w:pPr>
        <w:pStyle w:val="ListParagraph"/>
        <w:numPr>
          <w:ilvl w:val="0"/>
          <w:numId w:val="32"/>
        </w:numPr>
        <w:spacing w:after="0"/>
        <w:rPr>
          <w:rFonts w:ascii="Times New Roman" w:hAnsi="Times New Roman"/>
          <w:sz w:val="24"/>
          <w:szCs w:val="24"/>
        </w:rPr>
      </w:pPr>
      <w:r>
        <w:rPr>
          <w:rFonts w:ascii="Times New Roman" w:hAnsi="Times New Roman"/>
          <w:sz w:val="24"/>
          <w:szCs w:val="24"/>
        </w:rPr>
        <w:t>Individual Teacher Professional Development Plans</w:t>
      </w:r>
    </w:p>
    <w:p w:rsidR="00184F10" w:rsidRDefault="00184F10" w:rsidP="00184F10">
      <w:pPr>
        <w:pStyle w:val="ListParagraph"/>
        <w:numPr>
          <w:ilvl w:val="0"/>
          <w:numId w:val="32"/>
        </w:numPr>
        <w:spacing w:after="0"/>
        <w:rPr>
          <w:rFonts w:ascii="Times New Roman" w:hAnsi="Times New Roman"/>
          <w:sz w:val="24"/>
          <w:szCs w:val="24"/>
        </w:rPr>
      </w:pPr>
      <w:r>
        <w:rPr>
          <w:rFonts w:ascii="Times New Roman" w:hAnsi="Times New Roman"/>
          <w:sz w:val="24"/>
          <w:szCs w:val="24"/>
        </w:rPr>
        <w:t>Data Warehouse/Individual Student Plans</w:t>
      </w:r>
    </w:p>
    <w:p w:rsidR="00184F10" w:rsidRDefault="00184F10" w:rsidP="00184F10">
      <w:pPr>
        <w:spacing w:after="0"/>
        <w:rPr>
          <w:rFonts w:ascii="Times New Roman" w:hAnsi="Times New Roman"/>
          <w:sz w:val="24"/>
          <w:szCs w:val="24"/>
        </w:rPr>
      </w:pPr>
    </w:p>
    <w:p w:rsidR="00184F10" w:rsidRPr="00184F10" w:rsidRDefault="00184F10" w:rsidP="00184F10">
      <w:pPr>
        <w:spacing w:after="0"/>
        <w:rPr>
          <w:rFonts w:ascii="Times New Roman" w:hAnsi="Times New Roman"/>
          <w:b/>
          <w:sz w:val="24"/>
          <w:szCs w:val="24"/>
        </w:rPr>
      </w:pPr>
      <w:r w:rsidRPr="00184F10">
        <w:rPr>
          <w:rFonts w:ascii="Times New Roman" w:hAnsi="Times New Roman"/>
          <w:b/>
          <w:sz w:val="24"/>
          <w:szCs w:val="24"/>
        </w:rPr>
        <w:t>March 19, 2012</w:t>
      </w:r>
    </w:p>
    <w:p w:rsidR="002079BD" w:rsidRDefault="00184F10" w:rsidP="00BF2E58">
      <w:pPr>
        <w:spacing w:after="0"/>
        <w:rPr>
          <w:rFonts w:ascii="Times New Roman" w:hAnsi="Times New Roman"/>
          <w:sz w:val="24"/>
          <w:szCs w:val="24"/>
        </w:rPr>
      </w:pPr>
      <w:r>
        <w:rPr>
          <w:rFonts w:ascii="Times New Roman" w:hAnsi="Times New Roman"/>
          <w:sz w:val="24"/>
          <w:szCs w:val="24"/>
        </w:rPr>
        <w:t>Collaborative meeting between Mosaica and TA Director to discuss the following items:</w:t>
      </w:r>
    </w:p>
    <w:p w:rsidR="00184F10" w:rsidRDefault="00184F10" w:rsidP="00184F10">
      <w:pPr>
        <w:pStyle w:val="ListParagraph"/>
        <w:numPr>
          <w:ilvl w:val="0"/>
          <w:numId w:val="33"/>
        </w:numPr>
        <w:spacing w:after="0"/>
        <w:rPr>
          <w:rFonts w:ascii="Times New Roman" w:hAnsi="Times New Roman"/>
          <w:sz w:val="24"/>
          <w:szCs w:val="24"/>
        </w:rPr>
      </w:pPr>
      <w:r>
        <w:rPr>
          <w:rFonts w:ascii="Times New Roman" w:hAnsi="Times New Roman"/>
          <w:sz w:val="24"/>
          <w:szCs w:val="24"/>
        </w:rPr>
        <w:t>Mosaica – PGCPS Monitoring Tool Review</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Individual Teacher Professional Development Plans</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Parent Engagement</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Scheduling</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Staffing</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Extended Learning</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Collaborative Planning</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Leadership Coaching</w:t>
      </w:r>
    </w:p>
    <w:p w:rsidR="00184F10" w:rsidRDefault="00184F10" w:rsidP="00184F10">
      <w:pPr>
        <w:pStyle w:val="ListParagraph"/>
        <w:numPr>
          <w:ilvl w:val="1"/>
          <w:numId w:val="33"/>
        </w:numPr>
        <w:spacing w:after="0"/>
        <w:rPr>
          <w:rFonts w:ascii="Times New Roman" w:hAnsi="Times New Roman"/>
          <w:sz w:val="24"/>
          <w:szCs w:val="24"/>
        </w:rPr>
      </w:pPr>
      <w:r>
        <w:rPr>
          <w:rFonts w:ascii="Times New Roman" w:hAnsi="Times New Roman"/>
          <w:sz w:val="24"/>
          <w:szCs w:val="24"/>
        </w:rPr>
        <w:t>Professional Development</w:t>
      </w:r>
    </w:p>
    <w:p w:rsidR="00184F10" w:rsidRDefault="00184F10" w:rsidP="00184F10">
      <w:pPr>
        <w:pStyle w:val="ListParagraph"/>
        <w:numPr>
          <w:ilvl w:val="0"/>
          <w:numId w:val="33"/>
        </w:numPr>
        <w:spacing w:after="0"/>
        <w:rPr>
          <w:rFonts w:ascii="Times New Roman" w:hAnsi="Times New Roman"/>
          <w:sz w:val="24"/>
          <w:szCs w:val="24"/>
        </w:rPr>
      </w:pPr>
      <w:r>
        <w:rPr>
          <w:rFonts w:ascii="Times New Roman" w:hAnsi="Times New Roman"/>
          <w:sz w:val="24"/>
          <w:szCs w:val="24"/>
        </w:rPr>
        <w:t>Individual Professional Development Plans</w:t>
      </w:r>
    </w:p>
    <w:p w:rsidR="00184F10" w:rsidRDefault="00184F10" w:rsidP="00184F10">
      <w:pPr>
        <w:pStyle w:val="ListParagraph"/>
        <w:numPr>
          <w:ilvl w:val="0"/>
          <w:numId w:val="33"/>
        </w:numPr>
        <w:spacing w:after="0"/>
        <w:rPr>
          <w:rFonts w:ascii="Times New Roman" w:hAnsi="Times New Roman"/>
          <w:sz w:val="24"/>
          <w:szCs w:val="24"/>
        </w:rPr>
      </w:pPr>
      <w:r>
        <w:rPr>
          <w:rFonts w:ascii="Times New Roman" w:hAnsi="Times New Roman"/>
          <w:sz w:val="24"/>
          <w:szCs w:val="24"/>
        </w:rPr>
        <w:t>New Teacher Support</w:t>
      </w:r>
    </w:p>
    <w:p w:rsidR="00184F10" w:rsidRDefault="00184F10" w:rsidP="00184F10">
      <w:pPr>
        <w:pStyle w:val="ListParagraph"/>
        <w:numPr>
          <w:ilvl w:val="0"/>
          <w:numId w:val="33"/>
        </w:numPr>
        <w:spacing w:after="0"/>
        <w:rPr>
          <w:rFonts w:ascii="Times New Roman" w:hAnsi="Times New Roman"/>
          <w:sz w:val="24"/>
          <w:szCs w:val="24"/>
        </w:rPr>
      </w:pPr>
      <w:r>
        <w:rPr>
          <w:rFonts w:ascii="Times New Roman" w:hAnsi="Times New Roman"/>
          <w:sz w:val="24"/>
          <w:szCs w:val="24"/>
        </w:rPr>
        <w:t>Professional Development Day – April 18</w:t>
      </w:r>
    </w:p>
    <w:p w:rsidR="00184F10" w:rsidRDefault="00184F10" w:rsidP="00184F10">
      <w:pPr>
        <w:pStyle w:val="ListParagraph"/>
        <w:numPr>
          <w:ilvl w:val="0"/>
          <w:numId w:val="33"/>
        </w:numPr>
        <w:spacing w:after="0"/>
        <w:rPr>
          <w:rFonts w:ascii="Times New Roman" w:hAnsi="Times New Roman"/>
          <w:sz w:val="24"/>
          <w:szCs w:val="24"/>
        </w:rPr>
      </w:pPr>
      <w:r>
        <w:rPr>
          <w:rFonts w:ascii="Times New Roman" w:hAnsi="Times New Roman"/>
          <w:sz w:val="24"/>
          <w:szCs w:val="24"/>
        </w:rPr>
        <w:t>Mosaica Turnaround Institute – Planning</w:t>
      </w:r>
    </w:p>
    <w:p w:rsidR="00184F10" w:rsidRDefault="00184F10" w:rsidP="00184F10">
      <w:pPr>
        <w:pStyle w:val="ListParagraph"/>
        <w:numPr>
          <w:ilvl w:val="0"/>
          <w:numId w:val="33"/>
        </w:numPr>
        <w:spacing w:after="0"/>
        <w:rPr>
          <w:rFonts w:ascii="Times New Roman" w:hAnsi="Times New Roman"/>
          <w:sz w:val="24"/>
          <w:szCs w:val="24"/>
        </w:rPr>
      </w:pPr>
      <w:r>
        <w:rPr>
          <w:rFonts w:ascii="Times New Roman" w:hAnsi="Times New Roman"/>
          <w:sz w:val="24"/>
          <w:szCs w:val="24"/>
        </w:rPr>
        <w:t>Mercury Online – updates</w:t>
      </w:r>
    </w:p>
    <w:p w:rsidR="00184F10" w:rsidRDefault="00184F10" w:rsidP="00184F10">
      <w:pPr>
        <w:spacing w:after="0"/>
        <w:rPr>
          <w:rFonts w:ascii="Times New Roman" w:hAnsi="Times New Roman"/>
          <w:sz w:val="24"/>
          <w:szCs w:val="24"/>
        </w:rPr>
      </w:pPr>
    </w:p>
    <w:p w:rsidR="00184F10" w:rsidRPr="00184F10" w:rsidRDefault="00184F10" w:rsidP="00184F10">
      <w:pPr>
        <w:spacing w:after="0"/>
        <w:rPr>
          <w:rFonts w:ascii="Times New Roman" w:hAnsi="Times New Roman"/>
          <w:b/>
          <w:sz w:val="24"/>
          <w:szCs w:val="24"/>
        </w:rPr>
      </w:pPr>
      <w:r w:rsidRPr="00184F10">
        <w:rPr>
          <w:rFonts w:ascii="Times New Roman" w:hAnsi="Times New Roman"/>
          <w:b/>
          <w:sz w:val="24"/>
          <w:szCs w:val="24"/>
        </w:rPr>
        <w:t>March 26, 2012</w:t>
      </w:r>
    </w:p>
    <w:p w:rsidR="00184F10" w:rsidRDefault="00184F10" w:rsidP="00184F10">
      <w:pPr>
        <w:spacing w:after="0"/>
        <w:rPr>
          <w:rFonts w:ascii="Times New Roman" w:hAnsi="Times New Roman"/>
          <w:sz w:val="24"/>
          <w:szCs w:val="24"/>
        </w:rPr>
      </w:pPr>
      <w:r>
        <w:rPr>
          <w:rFonts w:ascii="Times New Roman" w:hAnsi="Times New Roman"/>
          <w:sz w:val="24"/>
          <w:szCs w:val="24"/>
        </w:rPr>
        <w:t>Collaborative meeting between Mosaica, TA Director, and the principals to discuss the following items:</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Introduction of 100-Day Planning packet</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Individual PD plans for teachers</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Instructional Needs Assessment</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Student Plans – PSAP</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April 18</w:t>
      </w:r>
      <w:r w:rsidRPr="00184F10">
        <w:rPr>
          <w:rFonts w:ascii="Times New Roman" w:hAnsi="Times New Roman"/>
          <w:sz w:val="24"/>
          <w:szCs w:val="24"/>
          <w:vertAlign w:val="superscript"/>
        </w:rPr>
        <w:t>th</w:t>
      </w:r>
      <w:r>
        <w:rPr>
          <w:rFonts w:ascii="Times New Roman" w:hAnsi="Times New Roman"/>
          <w:sz w:val="24"/>
          <w:szCs w:val="24"/>
        </w:rPr>
        <w:t xml:space="preserve"> – Professional Development</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Mosaica Summer Institute</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Mosaica Turnaround Leadership Institute</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lastRenderedPageBreak/>
        <w:t>Summer Staffing Collaboration</w:t>
      </w:r>
    </w:p>
    <w:p w:rsid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Scheduling</w:t>
      </w:r>
    </w:p>
    <w:p w:rsidR="00184F10" w:rsidRPr="00184F10" w:rsidRDefault="00184F10" w:rsidP="00184F10">
      <w:pPr>
        <w:pStyle w:val="ListParagraph"/>
        <w:numPr>
          <w:ilvl w:val="0"/>
          <w:numId w:val="36"/>
        </w:numPr>
        <w:spacing w:after="0"/>
        <w:rPr>
          <w:rFonts w:ascii="Times New Roman" w:hAnsi="Times New Roman"/>
          <w:sz w:val="24"/>
          <w:szCs w:val="24"/>
        </w:rPr>
      </w:pPr>
      <w:r>
        <w:rPr>
          <w:rFonts w:ascii="Times New Roman" w:hAnsi="Times New Roman"/>
          <w:sz w:val="24"/>
          <w:szCs w:val="24"/>
        </w:rPr>
        <w:t>Reallocation of SIG II, Year 1 Funds</w:t>
      </w:r>
    </w:p>
    <w:p w:rsidR="00184F10" w:rsidRDefault="00184F10" w:rsidP="00BF2E58">
      <w:pPr>
        <w:spacing w:after="0"/>
        <w:rPr>
          <w:rFonts w:ascii="Times New Roman" w:hAnsi="Times New Roman"/>
          <w:b/>
          <w:sz w:val="24"/>
          <w:szCs w:val="24"/>
          <w:u w:val="single"/>
        </w:rPr>
      </w:pPr>
    </w:p>
    <w:p w:rsidR="0005496B" w:rsidRPr="007A67AE" w:rsidRDefault="0005496B" w:rsidP="00BF2E58">
      <w:pPr>
        <w:spacing w:after="0"/>
        <w:rPr>
          <w:rFonts w:ascii="Times New Roman" w:hAnsi="Times New Roman"/>
          <w:b/>
          <w:sz w:val="24"/>
          <w:szCs w:val="24"/>
          <w:u w:val="single"/>
        </w:rPr>
      </w:pPr>
      <w:r w:rsidRPr="007A67AE">
        <w:rPr>
          <w:rFonts w:ascii="Times New Roman" w:hAnsi="Times New Roman"/>
          <w:b/>
          <w:sz w:val="24"/>
          <w:szCs w:val="24"/>
          <w:u w:val="single"/>
        </w:rPr>
        <w:t>II B.  Chief Academic Officer M</w:t>
      </w:r>
      <w:r w:rsidR="00673F45">
        <w:rPr>
          <w:rFonts w:ascii="Times New Roman" w:hAnsi="Times New Roman"/>
          <w:b/>
          <w:sz w:val="24"/>
          <w:szCs w:val="24"/>
          <w:u w:val="single"/>
        </w:rPr>
        <w:t>onitoring of SIG Restart Partner</w:t>
      </w:r>
    </w:p>
    <w:p w:rsidR="004F3470" w:rsidRPr="007A67AE" w:rsidRDefault="004F3470" w:rsidP="00AB3F26">
      <w:pPr>
        <w:spacing w:after="0"/>
        <w:ind w:firstLine="720"/>
        <w:rPr>
          <w:rFonts w:ascii="Times New Roman" w:hAnsi="Times New Roman"/>
          <w:b/>
          <w:sz w:val="24"/>
          <w:szCs w:val="24"/>
        </w:rPr>
      </w:pPr>
    </w:p>
    <w:p w:rsidR="0005496B" w:rsidRPr="00022E34" w:rsidRDefault="0005496B" w:rsidP="00AD06E6">
      <w:pPr>
        <w:spacing w:after="0"/>
        <w:rPr>
          <w:rFonts w:ascii="Times New Roman" w:hAnsi="Times New Roman"/>
          <w:sz w:val="24"/>
          <w:szCs w:val="24"/>
        </w:rPr>
      </w:pPr>
      <w:r w:rsidRPr="007A67AE">
        <w:rPr>
          <w:rFonts w:ascii="Times New Roman" w:hAnsi="Times New Roman"/>
          <w:b/>
          <w:sz w:val="24"/>
          <w:szCs w:val="24"/>
        </w:rPr>
        <w:t>This table shows the dates and number of occurrences for each monitoring activity by the Chief Academic Officer of the Turnaround Director.</w:t>
      </w:r>
      <w:r w:rsidR="00022E34">
        <w:rPr>
          <w:rFonts w:ascii="Times New Roman" w:hAnsi="Times New Roman"/>
          <w:b/>
          <w:sz w:val="24"/>
          <w:szCs w:val="24"/>
        </w:rPr>
        <w:t xml:space="preserve">  </w:t>
      </w:r>
      <w:r w:rsidR="00022E34">
        <w:rPr>
          <w:rFonts w:ascii="Times New Roman" w:hAnsi="Times New Roman"/>
          <w:sz w:val="24"/>
          <w:szCs w:val="24"/>
        </w:rPr>
        <w:t>Additionally, the Chief Academic Officer and Turnaround Director frequently discuss the status of the schools and implementation of deliverables.</w:t>
      </w:r>
    </w:p>
    <w:p w:rsidR="00C11EBC" w:rsidRDefault="00C11EBC" w:rsidP="00AD06E6">
      <w:pPr>
        <w:spacing w:after="0"/>
        <w:rPr>
          <w:rFonts w:ascii="Times New Roman" w:hAnsi="Times New Roman"/>
          <w:b/>
        </w:rPr>
      </w:pPr>
    </w:p>
    <w:p w:rsidR="00C11EBC" w:rsidRPr="001832B4" w:rsidRDefault="00C11EBC" w:rsidP="00AD06E6">
      <w:pPr>
        <w:spacing w:after="0"/>
        <w:rPr>
          <w:rFonts w:ascii="Times New Roman" w:hAnsi="Times New Roman"/>
          <w:b/>
          <w:u w:val="single"/>
        </w:rPr>
      </w:pPr>
      <w:r w:rsidRPr="00C11EBC">
        <w:rPr>
          <w:rFonts w:ascii="Times New Roman" w:hAnsi="Times New Roman"/>
          <w:b/>
          <w:u w:val="single"/>
        </w:rPr>
        <w:t>First Quarter</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330"/>
        <w:gridCol w:w="3960"/>
        <w:gridCol w:w="3870"/>
      </w:tblGrid>
      <w:tr w:rsidR="00673F45" w:rsidRPr="007B196E" w:rsidTr="004F3470">
        <w:trPr>
          <w:trHeight w:val="440"/>
        </w:trPr>
        <w:tc>
          <w:tcPr>
            <w:tcW w:w="2088" w:type="dxa"/>
          </w:tcPr>
          <w:p w:rsidR="00673F45" w:rsidRPr="007B196E" w:rsidRDefault="00673F45" w:rsidP="007B196E">
            <w:pPr>
              <w:spacing w:after="0" w:line="240" w:lineRule="auto"/>
              <w:rPr>
                <w:rFonts w:ascii="Times New Roman" w:hAnsi="Times New Roman"/>
                <w:b/>
              </w:rPr>
            </w:pPr>
            <w:r w:rsidRPr="007B196E">
              <w:rPr>
                <w:rFonts w:ascii="Times New Roman" w:hAnsi="Times New Roman"/>
                <w:b/>
              </w:rPr>
              <w:t>Schools</w:t>
            </w:r>
          </w:p>
        </w:tc>
        <w:tc>
          <w:tcPr>
            <w:tcW w:w="3330" w:type="dxa"/>
          </w:tcPr>
          <w:p w:rsidR="00673F45" w:rsidRPr="007B196E" w:rsidRDefault="00673F45" w:rsidP="007B196E">
            <w:pPr>
              <w:spacing w:after="0" w:line="240" w:lineRule="auto"/>
              <w:rPr>
                <w:rFonts w:ascii="Times New Roman" w:hAnsi="Times New Roman"/>
                <w:b/>
              </w:rPr>
            </w:pPr>
            <w:r w:rsidRPr="007B196E">
              <w:rPr>
                <w:rFonts w:ascii="Times New Roman" w:hAnsi="Times New Roman"/>
                <w:b/>
              </w:rPr>
              <w:t>Quarterly Evaluation of test data by school</w:t>
            </w:r>
          </w:p>
        </w:tc>
        <w:tc>
          <w:tcPr>
            <w:tcW w:w="3960" w:type="dxa"/>
          </w:tcPr>
          <w:p w:rsidR="00673F45" w:rsidRPr="007B196E" w:rsidRDefault="00673F45" w:rsidP="007B196E">
            <w:pPr>
              <w:spacing w:after="0" w:line="240" w:lineRule="auto"/>
              <w:rPr>
                <w:rFonts w:ascii="Times New Roman" w:hAnsi="Times New Roman"/>
                <w:b/>
              </w:rPr>
            </w:pPr>
            <w:r w:rsidRPr="007B196E">
              <w:rPr>
                <w:rFonts w:ascii="Times New Roman" w:hAnsi="Times New Roman"/>
                <w:b/>
              </w:rPr>
              <w:t xml:space="preserve">Quarterly Evaluation of Participation Data </w:t>
            </w:r>
          </w:p>
          <w:p w:rsidR="00673F45" w:rsidRPr="007B196E" w:rsidRDefault="004F3470" w:rsidP="007B196E">
            <w:pPr>
              <w:spacing w:after="0" w:line="240" w:lineRule="auto"/>
              <w:rPr>
                <w:rFonts w:ascii="Times New Roman" w:hAnsi="Times New Roman"/>
                <w:b/>
              </w:rPr>
            </w:pPr>
            <w:r>
              <w:rPr>
                <w:rFonts w:ascii="Times New Roman" w:hAnsi="Times New Roman"/>
                <w:b/>
              </w:rPr>
              <w:t>(A</w:t>
            </w:r>
            <w:r w:rsidR="00673F45" w:rsidRPr="007B196E">
              <w:rPr>
                <w:rFonts w:ascii="Times New Roman" w:hAnsi="Times New Roman"/>
                <w:b/>
              </w:rPr>
              <w:t>ttendance, suspension, etc.)</w:t>
            </w:r>
          </w:p>
        </w:tc>
        <w:tc>
          <w:tcPr>
            <w:tcW w:w="3870" w:type="dxa"/>
          </w:tcPr>
          <w:p w:rsidR="00673F45" w:rsidRPr="007B196E" w:rsidRDefault="00673F45" w:rsidP="007B196E">
            <w:pPr>
              <w:spacing w:after="0" w:line="240" w:lineRule="auto"/>
              <w:rPr>
                <w:rFonts w:ascii="Times New Roman" w:hAnsi="Times New Roman"/>
                <w:b/>
              </w:rPr>
            </w:pPr>
            <w:r>
              <w:rPr>
                <w:rFonts w:ascii="Times New Roman" w:hAnsi="Times New Roman"/>
                <w:b/>
              </w:rPr>
              <w:t>Quarterly Meetings with Restart Partner Executive Leadership to discuss progress.</w:t>
            </w:r>
          </w:p>
        </w:tc>
      </w:tr>
      <w:tr w:rsidR="00673F45" w:rsidRPr="007B196E" w:rsidTr="004F3470">
        <w:tc>
          <w:tcPr>
            <w:tcW w:w="2088" w:type="dxa"/>
          </w:tcPr>
          <w:p w:rsidR="00673F45" w:rsidRPr="007B196E" w:rsidRDefault="00673F45" w:rsidP="007B196E">
            <w:pPr>
              <w:spacing w:after="0" w:line="240" w:lineRule="auto"/>
              <w:rPr>
                <w:rFonts w:ascii="Times New Roman" w:hAnsi="Times New Roman"/>
                <w:b/>
              </w:rPr>
            </w:pPr>
            <w:r>
              <w:rPr>
                <w:rFonts w:ascii="Times New Roman" w:hAnsi="Times New Roman"/>
                <w:b/>
              </w:rPr>
              <w:t>Oxon Hill Middle</w:t>
            </w:r>
          </w:p>
          <w:p w:rsidR="00673F45" w:rsidRPr="007B196E" w:rsidRDefault="00673F45" w:rsidP="007B196E">
            <w:pPr>
              <w:spacing w:after="0" w:line="240" w:lineRule="auto"/>
              <w:rPr>
                <w:rFonts w:ascii="Times New Roman" w:hAnsi="Times New Roman"/>
                <w:b/>
              </w:rPr>
            </w:pPr>
          </w:p>
        </w:tc>
        <w:tc>
          <w:tcPr>
            <w:tcW w:w="3330" w:type="dxa"/>
          </w:tcPr>
          <w:p w:rsidR="00673F45" w:rsidRPr="003D063F" w:rsidRDefault="00BF2E58" w:rsidP="007B196E">
            <w:pPr>
              <w:spacing w:after="0" w:line="240" w:lineRule="auto"/>
              <w:rPr>
                <w:rFonts w:ascii="Times New Roman" w:hAnsi="Times New Roman"/>
              </w:rPr>
            </w:pPr>
            <w:r>
              <w:rPr>
                <w:rFonts w:ascii="Times New Roman" w:hAnsi="Times New Roman"/>
              </w:rPr>
              <w:t>November 9, 2011</w:t>
            </w:r>
          </w:p>
        </w:tc>
        <w:tc>
          <w:tcPr>
            <w:tcW w:w="3960" w:type="dxa"/>
          </w:tcPr>
          <w:p w:rsidR="00673F45" w:rsidRPr="003D063F" w:rsidRDefault="00BF2E58" w:rsidP="007B196E">
            <w:pPr>
              <w:spacing w:after="0" w:line="240" w:lineRule="auto"/>
              <w:rPr>
                <w:rFonts w:ascii="Times New Roman" w:hAnsi="Times New Roman"/>
              </w:rPr>
            </w:pPr>
            <w:r>
              <w:rPr>
                <w:rFonts w:ascii="Times New Roman" w:hAnsi="Times New Roman"/>
              </w:rPr>
              <w:t>November 9, 2011</w:t>
            </w:r>
          </w:p>
        </w:tc>
        <w:tc>
          <w:tcPr>
            <w:tcW w:w="3870" w:type="dxa"/>
          </w:tcPr>
          <w:p w:rsidR="00673F45" w:rsidRPr="003D063F" w:rsidRDefault="00022E34" w:rsidP="00673F45">
            <w:pPr>
              <w:spacing w:after="0" w:line="240" w:lineRule="auto"/>
              <w:rPr>
                <w:rFonts w:ascii="Times New Roman" w:hAnsi="Times New Roman"/>
              </w:rPr>
            </w:pPr>
            <w:r>
              <w:rPr>
                <w:rFonts w:ascii="Times New Roman" w:hAnsi="Times New Roman"/>
              </w:rPr>
              <w:t>November 9, 2011</w:t>
            </w:r>
          </w:p>
        </w:tc>
      </w:tr>
      <w:tr w:rsidR="00673F45" w:rsidRPr="007B196E" w:rsidTr="004F3470">
        <w:tc>
          <w:tcPr>
            <w:tcW w:w="2088" w:type="dxa"/>
          </w:tcPr>
          <w:p w:rsidR="00673F45" w:rsidRPr="007B196E" w:rsidRDefault="00673F45" w:rsidP="007B196E">
            <w:pPr>
              <w:spacing w:after="0" w:line="240" w:lineRule="auto"/>
              <w:rPr>
                <w:rFonts w:ascii="Times New Roman" w:hAnsi="Times New Roman"/>
                <w:b/>
              </w:rPr>
            </w:pPr>
            <w:r>
              <w:rPr>
                <w:rFonts w:ascii="Times New Roman" w:hAnsi="Times New Roman"/>
                <w:b/>
              </w:rPr>
              <w:t>Thomas Johnson</w:t>
            </w:r>
          </w:p>
          <w:p w:rsidR="00673F45" w:rsidRPr="007B196E" w:rsidRDefault="00673F45" w:rsidP="007B196E">
            <w:pPr>
              <w:spacing w:after="0" w:line="240" w:lineRule="auto"/>
              <w:rPr>
                <w:rFonts w:ascii="Times New Roman" w:hAnsi="Times New Roman"/>
                <w:b/>
              </w:rPr>
            </w:pPr>
          </w:p>
        </w:tc>
        <w:tc>
          <w:tcPr>
            <w:tcW w:w="3330" w:type="dxa"/>
          </w:tcPr>
          <w:p w:rsidR="00673F45" w:rsidRPr="003D063F" w:rsidRDefault="00BF2E58" w:rsidP="007B196E">
            <w:pPr>
              <w:spacing w:after="0" w:line="240" w:lineRule="auto"/>
              <w:rPr>
                <w:rFonts w:ascii="Times New Roman" w:hAnsi="Times New Roman"/>
              </w:rPr>
            </w:pPr>
            <w:r>
              <w:rPr>
                <w:rFonts w:ascii="Times New Roman" w:hAnsi="Times New Roman"/>
              </w:rPr>
              <w:t>November 9, 2011</w:t>
            </w:r>
          </w:p>
        </w:tc>
        <w:tc>
          <w:tcPr>
            <w:tcW w:w="3960" w:type="dxa"/>
          </w:tcPr>
          <w:p w:rsidR="00673F45" w:rsidRPr="003D063F" w:rsidRDefault="00BF2E58" w:rsidP="007B196E">
            <w:pPr>
              <w:spacing w:after="0" w:line="240" w:lineRule="auto"/>
              <w:rPr>
                <w:rFonts w:ascii="Times New Roman" w:hAnsi="Times New Roman"/>
              </w:rPr>
            </w:pPr>
            <w:r>
              <w:rPr>
                <w:rFonts w:ascii="Times New Roman" w:hAnsi="Times New Roman"/>
              </w:rPr>
              <w:t>November 9, 2011</w:t>
            </w:r>
          </w:p>
        </w:tc>
        <w:tc>
          <w:tcPr>
            <w:tcW w:w="3870" w:type="dxa"/>
          </w:tcPr>
          <w:p w:rsidR="00673F45" w:rsidRPr="003D063F" w:rsidRDefault="00022E34" w:rsidP="00673F45">
            <w:pPr>
              <w:spacing w:after="0" w:line="240" w:lineRule="auto"/>
              <w:rPr>
                <w:rFonts w:ascii="Times New Roman" w:hAnsi="Times New Roman"/>
              </w:rPr>
            </w:pPr>
            <w:r>
              <w:rPr>
                <w:rFonts w:ascii="Times New Roman" w:hAnsi="Times New Roman"/>
              </w:rPr>
              <w:t>November 9, 2011</w:t>
            </w:r>
          </w:p>
        </w:tc>
      </w:tr>
    </w:tbl>
    <w:p w:rsidR="001832B4" w:rsidRDefault="00906B91" w:rsidP="00AD06E6">
      <w:pPr>
        <w:spacing w:after="0"/>
        <w:rPr>
          <w:rFonts w:ascii="Times New Roman" w:hAnsi="Times New Roman"/>
          <w:u w:val="single"/>
        </w:rPr>
      </w:pPr>
      <w:r>
        <w:rPr>
          <w:rFonts w:ascii="Times New Roman" w:hAnsi="Times New Roman"/>
          <w:u w:val="single"/>
        </w:rPr>
        <w:t xml:space="preserve"> </w:t>
      </w:r>
    </w:p>
    <w:p w:rsidR="00C11EBC" w:rsidRPr="007B4DAC" w:rsidRDefault="007B4DAC" w:rsidP="00AD06E6">
      <w:pPr>
        <w:spacing w:after="0"/>
        <w:rPr>
          <w:rFonts w:ascii="Times New Roman" w:hAnsi="Times New Roman"/>
          <w:b/>
          <w:u w:val="single"/>
        </w:rPr>
      </w:pPr>
      <w:r>
        <w:rPr>
          <w:rFonts w:ascii="Times New Roman" w:hAnsi="Times New Roman"/>
          <w:b/>
          <w:u w:val="single"/>
        </w:rPr>
        <w:t>Second Quarter</w:t>
      </w:r>
    </w:p>
    <w:p w:rsidR="0005496B" w:rsidRDefault="0005496B" w:rsidP="00AD06E6">
      <w:pPr>
        <w:spacing w:after="0"/>
        <w:rPr>
          <w:rFonts w:ascii="Times New Roman" w:hAnsi="Times New Roman"/>
          <w:u w:val="single"/>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330"/>
        <w:gridCol w:w="3960"/>
        <w:gridCol w:w="3870"/>
      </w:tblGrid>
      <w:tr w:rsidR="00673F45" w:rsidRPr="007B196E" w:rsidTr="004F3470">
        <w:trPr>
          <w:trHeight w:val="440"/>
        </w:trPr>
        <w:tc>
          <w:tcPr>
            <w:tcW w:w="2088" w:type="dxa"/>
          </w:tcPr>
          <w:p w:rsidR="00673F45" w:rsidRPr="007B196E" w:rsidRDefault="00673F45" w:rsidP="00673F45">
            <w:pPr>
              <w:spacing w:after="0" w:line="240" w:lineRule="auto"/>
              <w:rPr>
                <w:rFonts w:ascii="Times New Roman" w:hAnsi="Times New Roman"/>
                <w:b/>
              </w:rPr>
            </w:pPr>
            <w:r w:rsidRPr="007B196E">
              <w:rPr>
                <w:rFonts w:ascii="Times New Roman" w:hAnsi="Times New Roman"/>
                <w:b/>
              </w:rPr>
              <w:t>Schools</w:t>
            </w:r>
          </w:p>
        </w:tc>
        <w:tc>
          <w:tcPr>
            <w:tcW w:w="3330" w:type="dxa"/>
          </w:tcPr>
          <w:p w:rsidR="00673F45" w:rsidRPr="007B196E" w:rsidRDefault="00673F45" w:rsidP="00673F45">
            <w:pPr>
              <w:spacing w:after="0" w:line="240" w:lineRule="auto"/>
              <w:rPr>
                <w:rFonts w:ascii="Times New Roman" w:hAnsi="Times New Roman"/>
                <w:b/>
              </w:rPr>
            </w:pPr>
            <w:r w:rsidRPr="007B196E">
              <w:rPr>
                <w:rFonts w:ascii="Times New Roman" w:hAnsi="Times New Roman"/>
                <w:b/>
              </w:rPr>
              <w:t>Quarterly Evaluation of test data by school</w:t>
            </w:r>
          </w:p>
        </w:tc>
        <w:tc>
          <w:tcPr>
            <w:tcW w:w="3960" w:type="dxa"/>
          </w:tcPr>
          <w:p w:rsidR="00673F45" w:rsidRPr="007B196E" w:rsidRDefault="00673F45" w:rsidP="00673F45">
            <w:pPr>
              <w:spacing w:after="0" w:line="240" w:lineRule="auto"/>
              <w:rPr>
                <w:rFonts w:ascii="Times New Roman" w:hAnsi="Times New Roman"/>
                <w:b/>
              </w:rPr>
            </w:pPr>
            <w:r w:rsidRPr="007B196E">
              <w:rPr>
                <w:rFonts w:ascii="Times New Roman" w:hAnsi="Times New Roman"/>
                <w:b/>
              </w:rPr>
              <w:t xml:space="preserve">Quarterly Evaluation of Participation Data </w:t>
            </w:r>
          </w:p>
          <w:p w:rsidR="00673F45" w:rsidRPr="007B196E" w:rsidRDefault="00673F45" w:rsidP="00673F45">
            <w:pPr>
              <w:spacing w:after="0" w:line="240" w:lineRule="auto"/>
              <w:rPr>
                <w:rFonts w:ascii="Times New Roman" w:hAnsi="Times New Roman"/>
                <w:b/>
              </w:rPr>
            </w:pPr>
            <w:r w:rsidRPr="007B196E">
              <w:rPr>
                <w:rFonts w:ascii="Times New Roman" w:hAnsi="Times New Roman"/>
                <w:b/>
              </w:rPr>
              <w:t>(</w:t>
            </w:r>
            <w:r w:rsidR="004F3470" w:rsidRPr="007B196E">
              <w:rPr>
                <w:rFonts w:ascii="Times New Roman" w:hAnsi="Times New Roman"/>
                <w:b/>
              </w:rPr>
              <w:t>Attendance</w:t>
            </w:r>
            <w:r w:rsidRPr="007B196E">
              <w:rPr>
                <w:rFonts w:ascii="Times New Roman" w:hAnsi="Times New Roman"/>
                <w:b/>
              </w:rPr>
              <w:t>, suspension, etc.)</w:t>
            </w:r>
          </w:p>
        </w:tc>
        <w:tc>
          <w:tcPr>
            <w:tcW w:w="3870" w:type="dxa"/>
          </w:tcPr>
          <w:p w:rsidR="00673F45" w:rsidRPr="007B196E" w:rsidRDefault="00673F45" w:rsidP="00673F45">
            <w:pPr>
              <w:spacing w:after="0" w:line="240" w:lineRule="auto"/>
              <w:rPr>
                <w:rFonts w:ascii="Times New Roman" w:hAnsi="Times New Roman"/>
                <w:b/>
              </w:rPr>
            </w:pPr>
            <w:r>
              <w:rPr>
                <w:rFonts w:ascii="Times New Roman" w:hAnsi="Times New Roman"/>
                <w:b/>
              </w:rPr>
              <w:t>Quarterly Meetings with Restart Partner Executive Leadership to discuss progress.</w:t>
            </w:r>
          </w:p>
        </w:tc>
      </w:tr>
      <w:tr w:rsidR="00673F45" w:rsidRPr="003D063F" w:rsidTr="004F3470">
        <w:tc>
          <w:tcPr>
            <w:tcW w:w="2088" w:type="dxa"/>
          </w:tcPr>
          <w:p w:rsidR="00673F45" w:rsidRPr="007B196E" w:rsidRDefault="00673F45" w:rsidP="00673F45">
            <w:pPr>
              <w:spacing w:after="0" w:line="240" w:lineRule="auto"/>
              <w:rPr>
                <w:rFonts w:ascii="Times New Roman" w:hAnsi="Times New Roman"/>
                <w:b/>
              </w:rPr>
            </w:pPr>
            <w:r>
              <w:rPr>
                <w:rFonts w:ascii="Times New Roman" w:hAnsi="Times New Roman"/>
                <w:b/>
              </w:rPr>
              <w:t>Oxon Hill Middle</w:t>
            </w:r>
          </w:p>
          <w:p w:rsidR="00673F45" w:rsidRPr="007B196E" w:rsidRDefault="00673F45" w:rsidP="00673F45">
            <w:pPr>
              <w:spacing w:after="0" w:line="240" w:lineRule="auto"/>
              <w:rPr>
                <w:rFonts w:ascii="Times New Roman" w:hAnsi="Times New Roman"/>
                <w:b/>
              </w:rPr>
            </w:pPr>
          </w:p>
        </w:tc>
        <w:tc>
          <w:tcPr>
            <w:tcW w:w="3330" w:type="dxa"/>
          </w:tcPr>
          <w:p w:rsidR="00673F45" w:rsidRPr="003D063F" w:rsidRDefault="002A3A45" w:rsidP="00673F45">
            <w:pPr>
              <w:spacing w:after="0" w:line="240" w:lineRule="auto"/>
              <w:rPr>
                <w:rFonts w:ascii="Times New Roman" w:hAnsi="Times New Roman"/>
              </w:rPr>
            </w:pPr>
            <w:r>
              <w:rPr>
                <w:rFonts w:ascii="Times New Roman" w:hAnsi="Times New Roman"/>
              </w:rPr>
              <w:t>January 26, 2012</w:t>
            </w:r>
          </w:p>
        </w:tc>
        <w:tc>
          <w:tcPr>
            <w:tcW w:w="3960" w:type="dxa"/>
          </w:tcPr>
          <w:p w:rsidR="00673F45" w:rsidRPr="003D063F" w:rsidRDefault="002A3A45" w:rsidP="00673F45">
            <w:pPr>
              <w:spacing w:after="0" w:line="240" w:lineRule="auto"/>
              <w:rPr>
                <w:rFonts w:ascii="Times New Roman" w:hAnsi="Times New Roman"/>
              </w:rPr>
            </w:pPr>
            <w:r>
              <w:rPr>
                <w:rFonts w:ascii="Times New Roman" w:hAnsi="Times New Roman"/>
              </w:rPr>
              <w:t>January 26, 2012</w:t>
            </w:r>
          </w:p>
        </w:tc>
        <w:tc>
          <w:tcPr>
            <w:tcW w:w="3870" w:type="dxa"/>
          </w:tcPr>
          <w:p w:rsidR="00673F45" w:rsidRPr="003D063F" w:rsidRDefault="00022E34" w:rsidP="00673F45">
            <w:pPr>
              <w:spacing w:after="0" w:line="240" w:lineRule="auto"/>
              <w:rPr>
                <w:rFonts w:ascii="Times New Roman" w:hAnsi="Times New Roman"/>
              </w:rPr>
            </w:pPr>
            <w:r>
              <w:rPr>
                <w:rFonts w:ascii="Times New Roman" w:hAnsi="Times New Roman"/>
              </w:rPr>
              <w:t>January 26, 2012</w:t>
            </w:r>
          </w:p>
        </w:tc>
      </w:tr>
      <w:tr w:rsidR="00673F45" w:rsidRPr="003D063F" w:rsidTr="004F3470">
        <w:tc>
          <w:tcPr>
            <w:tcW w:w="2088" w:type="dxa"/>
          </w:tcPr>
          <w:p w:rsidR="00673F45" w:rsidRPr="007B196E" w:rsidRDefault="00673F45" w:rsidP="00673F45">
            <w:pPr>
              <w:spacing w:after="0" w:line="240" w:lineRule="auto"/>
              <w:rPr>
                <w:rFonts w:ascii="Times New Roman" w:hAnsi="Times New Roman"/>
                <w:b/>
              </w:rPr>
            </w:pPr>
            <w:r>
              <w:rPr>
                <w:rFonts w:ascii="Times New Roman" w:hAnsi="Times New Roman"/>
                <w:b/>
              </w:rPr>
              <w:t>Thomas Johnson</w:t>
            </w:r>
          </w:p>
          <w:p w:rsidR="00673F45" w:rsidRPr="007B196E" w:rsidRDefault="00673F45" w:rsidP="00673F45">
            <w:pPr>
              <w:spacing w:after="0" w:line="240" w:lineRule="auto"/>
              <w:rPr>
                <w:rFonts w:ascii="Times New Roman" w:hAnsi="Times New Roman"/>
                <w:b/>
              </w:rPr>
            </w:pPr>
          </w:p>
        </w:tc>
        <w:tc>
          <w:tcPr>
            <w:tcW w:w="3330" w:type="dxa"/>
          </w:tcPr>
          <w:p w:rsidR="00673F45" w:rsidRPr="003D063F" w:rsidRDefault="002A3A45" w:rsidP="00673F45">
            <w:pPr>
              <w:spacing w:after="0" w:line="240" w:lineRule="auto"/>
              <w:rPr>
                <w:rFonts w:ascii="Times New Roman" w:hAnsi="Times New Roman"/>
              </w:rPr>
            </w:pPr>
            <w:r>
              <w:rPr>
                <w:rFonts w:ascii="Times New Roman" w:hAnsi="Times New Roman"/>
              </w:rPr>
              <w:t>January 26, 2012</w:t>
            </w:r>
          </w:p>
        </w:tc>
        <w:tc>
          <w:tcPr>
            <w:tcW w:w="3960" w:type="dxa"/>
          </w:tcPr>
          <w:p w:rsidR="00673F45" w:rsidRPr="003D063F" w:rsidRDefault="002A3A45" w:rsidP="00673F45">
            <w:pPr>
              <w:spacing w:after="0" w:line="240" w:lineRule="auto"/>
              <w:rPr>
                <w:rFonts w:ascii="Times New Roman" w:hAnsi="Times New Roman"/>
              </w:rPr>
            </w:pPr>
            <w:r>
              <w:rPr>
                <w:rFonts w:ascii="Times New Roman" w:hAnsi="Times New Roman"/>
              </w:rPr>
              <w:t>January 26, 2012</w:t>
            </w:r>
          </w:p>
        </w:tc>
        <w:tc>
          <w:tcPr>
            <w:tcW w:w="3870" w:type="dxa"/>
          </w:tcPr>
          <w:p w:rsidR="00673F45" w:rsidRPr="003D063F" w:rsidRDefault="00022E34" w:rsidP="00673F45">
            <w:pPr>
              <w:spacing w:after="0" w:line="240" w:lineRule="auto"/>
              <w:rPr>
                <w:rFonts w:ascii="Times New Roman" w:hAnsi="Times New Roman"/>
              </w:rPr>
            </w:pPr>
            <w:r>
              <w:rPr>
                <w:rFonts w:ascii="Times New Roman" w:hAnsi="Times New Roman"/>
              </w:rPr>
              <w:t>January 26, 2012</w:t>
            </w:r>
          </w:p>
        </w:tc>
      </w:tr>
    </w:tbl>
    <w:p w:rsidR="00906B91" w:rsidRDefault="00906B91" w:rsidP="00AD06E6">
      <w:pPr>
        <w:spacing w:after="0"/>
        <w:rPr>
          <w:rFonts w:ascii="Times New Roman" w:hAnsi="Times New Roman"/>
          <w:u w:val="single"/>
        </w:rPr>
      </w:pPr>
    </w:p>
    <w:p w:rsidR="00B73792" w:rsidRPr="005F305F" w:rsidRDefault="005F305F" w:rsidP="00AD06E6">
      <w:pPr>
        <w:spacing w:after="0"/>
        <w:rPr>
          <w:rFonts w:ascii="Times New Roman" w:hAnsi="Times New Roman"/>
        </w:rPr>
      </w:pPr>
      <w:r>
        <w:rPr>
          <w:rFonts w:ascii="Times New Roman" w:hAnsi="Times New Roman"/>
          <w:b/>
          <w:u w:val="single"/>
        </w:rPr>
        <w:t>Third Quarter</w:t>
      </w:r>
    </w:p>
    <w:p w:rsidR="004F3470" w:rsidRDefault="004F3470" w:rsidP="00AD06E6">
      <w:pPr>
        <w:spacing w:after="0"/>
        <w:rPr>
          <w:rFonts w:ascii="Times New Roman" w:hAnsi="Times New Roman"/>
          <w:b/>
          <w:u w:val="single"/>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330"/>
        <w:gridCol w:w="3960"/>
        <w:gridCol w:w="3870"/>
      </w:tblGrid>
      <w:tr w:rsidR="005F305F" w:rsidRPr="007B196E" w:rsidTr="000912B4">
        <w:trPr>
          <w:trHeight w:val="440"/>
        </w:trPr>
        <w:tc>
          <w:tcPr>
            <w:tcW w:w="2088" w:type="dxa"/>
          </w:tcPr>
          <w:p w:rsidR="005F305F" w:rsidRPr="007B196E" w:rsidRDefault="005F305F" w:rsidP="000912B4">
            <w:pPr>
              <w:spacing w:after="0" w:line="240" w:lineRule="auto"/>
              <w:rPr>
                <w:rFonts w:ascii="Times New Roman" w:hAnsi="Times New Roman"/>
                <w:b/>
              </w:rPr>
            </w:pPr>
            <w:r w:rsidRPr="007B196E">
              <w:rPr>
                <w:rFonts w:ascii="Times New Roman" w:hAnsi="Times New Roman"/>
                <w:b/>
              </w:rPr>
              <w:t>Schools</w:t>
            </w:r>
          </w:p>
        </w:tc>
        <w:tc>
          <w:tcPr>
            <w:tcW w:w="3330" w:type="dxa"/>
          </w:tcPr>
          <w:p w:rsidR="005F305F" w:rsidRPr="007B196E" w:rsidRDefault="005F305F" w:rsidP="000912B4">
            <w:pPr>
              <w:spacing w:after="0" w:line="240" w:lineRule="auto"/>
              <w:rPr>
                <w:rFonts w:ascii="Times New Roman" w:hAnsi="Times New Roman"/>
                <w:b/>
              </w:rPr>
            </w:pPr>
            <w:r w:rsidRPr="007B196E">
              <w:rPr>
                <w:rFonts w:ascii="Times New Roman" w:hAnsi="Times New Roman"/>
                <w:b/>
              </w:rPr>
              <w:t>Quarterly Evaluation of test data by school</w:t>
            </w:r>
          </w:p>
        </w:tc>
        <w:tc>
          <w:tcPr>
            <w:tcW w:w="3960" w:type="dxa"/>
          </w:tcPr>
          <w:p w:rsidR="005F305F" w:rsidRPr="007B196E" w:rsidRDefault="005F305F" w:rsidP="000912B4">
            <w:pPr>
              <w:spacing w:after="0" w:line="240" w:lineRule="auto"/>
              <w:rPr>
                <w:rFonts w:ascii="Times New Roman" w:hAnsi="Times New Roman"/>
                <w:b/>
              </w:rPr>
            </w:pPr>
            <w:r w:rsidRPr="007B196E">
              <w:rPr>
                <w:rFonts w:ascii="Times New Roman" w:hAnsi="Times New Roman"/>
                <w:b/>
              </w:rPr>
              <w:t xml:space="preserve">Quarterly Evaluation of Participation Data </w:t>
            </w:r>
          </w:p>
          <w:p w:rsidR="005F305F" w:rsidRPr="007B196E" w:rsidRDefault="005F305F" w:rsidP="000912B4">
            <w:pPr>
              <w:spacing w:after="0" w:line="240" w:lineRule="auto"/>
              <w:rPr>
                <w:rFonts w:ascii="Times New Roman" w:hAnsi="Times New Roman"/>
                <w:b/>
              </w:rPr>
            </w:pPr>
            <w:r>
              <w:rPr>
                <w:rFonts w:ascii="Times New Roman" w:hAnsi="Times New Roman"/>
                <w:b/>
              </w:rPr>
              <w:t>(A</w:t>
            </w:r>
            <w:r w:rsidRPr="007B196E">
              <w:rPr>
                <w:rFonts w:ascii="Times New Roman" w:hAnsi="Times New Roman"/>
                <w:b/>
              </w:rPr>
              <w:t>ttendance, suspension, etc.)</w:t>
            </w:r>
          </w:p>
        </w:tc>
        <w:tc>
          <w:tcPr>
            <w:tcW w:w="3870" w:type="dxa"/>
          </w:tcPr>
          <w:p w:rsidR="005F305F" w:rsidRPr="007B196E" w:rsidRDefault="005F305F" w:rsidP="000912B4">
            <w:pPr>
              <w:spacing w:after="0" w:line="240" w:lineRule="auto"/>
              <w:rPr>
                <w:rFonts w:ascii="Times New Roman" w:hAnsi="Times New Roman"/>
                <w:b/>
              </w:rPr>
            </w:pPr>
            <w:r>
              <w:rPr>
                <w:rFonts w:ascii="Times New Roman" w:hAnsi="Times New Roman"/>
                <w:b/>
              </w:rPr>
              <w:t>Quarterly Meetings with Restart Partner Executive Leadership to discuss progress.</w:t>
            </w:r>
          </w:p>
        </w:tc>
      </w:tr>
      <w:tr w:rsidR="005F305F" w:rsidRPr="003D063F" w:rsidTr="000912B4">
        <w:tc>
          <w:tcPr>
            <w:tcW w:w="2088" w:type="dxa"/>
          </w:tcPr>
          <w:p w:rsidR="005F305F" w:rsidRPr="007B196E" w:rsidRDefault="005F305F" w:rsidP="000912B4">
            <w:pPr>
              <w:spacing w:after="0" w:line="240" w:lineRule="auto"/>
              <w:rPr>
                <w:rFonts w:ascii="Times New Roman" w:hAnsi="Times New Roman"/>
                <w:b/>
              </w:rPr>
            </w:pPr>
            <w:r>
              <w:rPr>
                <w:rFonts w:ascii="Times New Roman" w:hAnsi="Times New Roman"/>
                <w:b/>
              </w:rPr>
              <w:t>Oxon Hill Middle</w:t>
            </w:r>
          </w:p>
          <w:p w:rsidR="005F305F" w:rsidRPr="007B196E" w:rsidRDefault="005F305F" w:rsidP="000912B4">
            <w:pPr>
              <w:spacing w:after="0" w:line="240" w:lineRule="auto"/>
              <w:rPr>
                <w:rFonts w:ascii="Times New Roman" w:hAnsi="Times New Roman"/>
                <w:b/>
              </w:rPr>
            </w:pPr>
          </w:p>
        </w:tc>
        <w:tc>
          <w:tcPr>
            <w:tcW w:w="3330" w:type="dxa"/>
          </w:tcPr>
          <w:p w:rsidR="005F305F" w:rsidRPr="003D063F" w:rsidRDefault="005F305F" w:rsidP="000912B4">
            <w:pPr>
              <w:spacing w:after="0" w:line="240" w:lineRule="auto"/>
              <w:rPr>
                <w:rFonts w:ascii="Times New Roman" w:hAnsi="Times New Roman"/>
              </w:rPr>
            </w:pPr>
            <w:r>
              <w:rPr>
                <w:rFonts w:ascii="Times New Roman" w:hAnsi="Times New Roman"/>
              </w:rPr>
              <w:t>FAST is not administered Third Quarter.</w:t>
            </w:r>
          </w:p>
        </w:tc>
        <w:tc>
          <w:tcPr>
            <w:tcW w:w="3960" w:type="dxa"/>
          </w:tcPr>
          <w:p w:rsidR="005F305F" w:rsidRPr="003D063F" w:rsidRDefault="00C13681" w:rsidP="000912B4">
            <w:pPr>
              <w:spacing w:after="0" w:line="240" w:lineRule="auto"/>
              <w:rPr>
                <w:rFonts w:ascii="Times New Roman" w:hAnsi="Times New Roman"/>
              </w:rPr>
            </w:pPr>
            <w:r>
              <w:rPr>
                <w:rFonts w:ascii="Times New Roman" w:hAnsi="Times New Roman"/>
              </w:rPr>
              <w:t>April 10, 2012</w:t>
            </w:r>
          </w:p>
        </w:tc>
        <w:tc>
          <w:tcPr>
            <w:tcW w:w="3870" w:type="dxa"/>
          </w:tcPr>
          <w:p w:rsidR="005F305F" w:rsidRPr="003D063F" w:rsidRDefault="000912B4" w:rsidP="000912B4">
            <w:pPr>
              <w:spacing w:after="0" w:line="240" w:lineRule="auto"/>
              <w:rPr>
                <w:rFonts w:ascii="Times New Roman" w:hAnsi="Times New Roman"/>
              </w:rPr>
            </w:pPr>
            <w:r>
              <w:rPr>
                <w:rFonts w:ascii="Times New Roman" w:hAnsi="Times New Roman"/>
              </w:rPr>
              <w:t>March 8, 2012 and March 19, 2012</w:t>
            </w:r>
          </w:p>
        </w:tc>
      </w:tr>
      <w:tr w:rsidR="005F305F" w:rsidRPr="003D063F" w:rsidTr="000912B4">
        <w:tc>
          <w:tcPr>
            <w:tcW w:w="2088" w:type="dxa"/>
          </w:tcPr>
          <w:p w:rsidR="005F305F" w:rsidRPr="007B196E" w:rsidRDefault="005F305F" w:rsidP="000912B4">
            <w:pPr>
              <w:spacing w:after="0" w:line="240" w:lineRule="auto"/>
              <w:rPr>
                <w:rFonts w:ascii="Times New Roman" w:hAnsi="Times New Roman"/>
                <w:b/>
              </w:rPr>
            </w:pPr>
            <w:r>
              <w:rPr>
                <w:rFonts w:ascii="Times New Roman" w:hAnsi="Times New Roman"/>
                <w:b/>
              </w:rPr>
              <w:t>Thomas Johnson</w:t>
            </w:r>
          </w:p>
          <w:p w:rsidR="005F305F" w:rsidRPr="007B196E" w:rsidRDefault="005F305F" w:rsidP="000912B4">
            <w:pPr>
              <w:spacing w:after="0" w:line="240" w:lineRule="auto"/>
              <w:rPr>
                <w:rFonts w:ascii="Times New Roman" w:hAnsi="Times New Roman"/>
                <w:b/>
              </w:rPr>
            </w:pPr>
          </w:p>
        </w:tc>
        <w:tc>
          <w:tcPr>
            <w:tcW w:w="3330" w:type="dxa"/>
          </w:tcPr>
          <w:p w:rsidR="005F305F" w:rsidRPr="003D063F" w:rsidRDefault="005F305F" w:rsidP="000912B4">
            <w:pPr>
              <w:spacing w:after="0" w:line="240" w:lineRule="auto"/>
              <w:rPr>
                <w:rFonts w:ascii="Times New Roman" w:hAnsi="Times New Roman"/>
              </w:rPr>
            </w:pPr>
            <w:r>
              <w:rPr>
                <w:rFonts w:ascii="Times New Roman" w:hAnsi="Times New Roman"/>
              </w:rPr>
              <w:t>FAST is not administered Third Quarter</w:t>
            </w:r>
          </w:p>
        </w:tc>
        <w:tc>
          <w:tcPr>
            <w:tcW w:w="3960" w:type="dxa"/>
          </w:tcPr>
          <w:p w:rsidR="005F305F" w:rsidRPr="003D063F" w:rsidRDefault="00C13681" w:rsidP="000912B4">
            <w:pPr>
              <w:spacing w:after="0" w:line="240" w:lineRule="auto"/>
              <w:rPr>
                <w:rFonts w:ascii="Times New Roman" w:hAnsi="Times New Roman"/>
              </w:rPr>
            </w:pPr>
            <w:r>
              <w:rPr>
                <w:rFonts w:ascii="Times New Roman" w:hAnsi="Times New Roman"/>
              </w:rPr>
              <w:t>April 10, 2012</w:t>
            </w:r>
          </w:p>
        </w:tc>
        <w:tc>
          <w:tcPr>
            <w:tcW w:w="3870" w:type="dxa"/>
          </w:tcPr>
          <w:p w:rsidR="005F305F" w:rsidRPr="003D063F" w:rsidRDefault="000912B4" w:rsidP="000912B4">
            <w:pPr>
              <w:spacing w:after="0" w:line="240" w:lineRule="auto"/>
              <w:rPr>
                <w:rFonts w:ascii="Times New Roman" w:hAnsi="Times New Roman"/>
              </w:rPr>
            </w:pPr>
            <w:r>
              <w:rPr>
                <w:rFonts w:ascii="Times New Roman" w:hAnsi="Times New Roman"/>
              </w:rPr>
              <w:t>March 8, 2012 and March 19, 2012</w:t>
            </w:r>
          </w:p>
        </w:tc>
      </w:tr>
    </w:tbl>
    <w:p w:rsidR="004F3470" w:rsidRDefault="004F3470" w:rsidP="00AD06E6">
      <w:pPr>
        <w:spacing w:after="0"/>
        <w:rPr>
          <w:rFonts w:ascii="Times New Roman" w:hAnsi="Times New Roman"/>
          <w:b/>
          <w:u w:val="single"/>
        </w:rPr>
      </w:pPr>
    </w:p>
    <w:p w:rsidR="004F3470" w:rsidRPr="007A67AE" w:rsidRDefault="004F3470" w:rsidP="00022E34">
      <w:pPr>
        <w:spacing w:after="0"/>
        <w:rPr>
          <w:rFonts w:ascii="Times New Roman" w:hAnsi="Times New Roman"/>
          <w:b/>
          <w:sz w:val="24"/>
          <w:szCs w:val="24"/>
          <w:u w:val="single"/>
        </w:rPr>
      </w:pPr>
      <w:r>
        <w:rPr>
          <w:rFonts w:ascii="Times New Roman" w:hAnsi="Times New Roman"/>
          <w:b/>
          <w:sz w:val="24"/>
          <w:szCs w:val="24"/>
          <w:u w:val="single"/>
        </w:rPr>
        <w:t>II C</w:t>
      </w:r>
      <w:r w:rsidRPr="007A67AE">
        <w:rPr>
          <w:rFonts w:ascii="Times New Roman" w:hAnsi="Times New Roman"/>
          <w:b/>
          <w:sz w:val="24"/>
          <w:szCs w:val="24"/>
          <w:u w:val="single"/>
        </w:rPr>
        <w:t xml:space="preserve">.  </w:t>
      </w:r>
      <w:r>
        <w:rPr>
          <w:rFonts w:ascii="Times New Roman" w:hAnsi="Times New Roman"/>
          <w:b/>
          <w:sz w:val="24"/>
          <w:szCs w:val="24"/>
          <w:u w:val="single"/>
        </w:rPr>
        <w:t>SIG Restart Partner Implementation of Deliverables</w:t>
      </w:r>
    </w:p>
    <w:p w:rsidR="004F3470" w:rsidRDefault="004F3470" w:rsidP="004F3470">
      <w:pPr>
        <w:spacing w:after="0"/>
        <w:rPr>
          <w:rFonts w:ascii="Times New Roman" w:hAnsi="Times New Roman"/>
          <w:b/>
          <w:color w:val="943634" w:themeColor="accent2" w:themeShade="BF"/>
        </w:rPr>
      </w:pPr>
    </w:p>
    <w:p w:rsidR="004F3470" w:rsidRPr="00022E34" w:rsidRDefault="004F3470" w:rsidP="007D30F7">
      <w:pPr>
        <w:spacing w:after="0"/>
        <w:rPr>
          <w:rFonts w:ascii="Times New Roman" w:hAnsi="Times New Roman"/>
          <w:b/>
        </w:rPr>
      </w:pPr>
      <w:r w:rsidRPr="00022E34">
        <w:rPr>
          <w:rFonts w:ascii="Times New Roman" w:hAnsi="Times New Roman"/>
          <w:b/>
        </w:rPr>
        <w:t>First Quarter</w:t>
      </w:r>
    </w:p>
    <w:p w:rsidR="00FB10E6" w:rsidRPr="00022E34" w:rsidRDefault="00FB10E6" w:rsidP="007D30F7">
      <w:pPr>
        <w:spacing w:after="0"/>
        <w:rPr>
          <w:rFonts w:ascii="Times New Roman" w:hAnsi="Times New Roman"/>
        </w:rPr>
      </w:pPr>
      <w:r w:rsidRPr="00022E34">
        <w:rPr>
          <w:rFonts w:ascii="Times New Roman" w:hAnsi="Times New Roman"/>
        </w:rPr>
        <w:t>During the Pre-Implementation phase, MTP conducted observations of the teaching s</w:t>
      </w:r>
      <w:r w:rsidR="00B65AFC" w:rsidRPr="00022E34">
        <w:rPr>
          <w:rFonts w:ascii="Times New Roman" w:hAnsi="Times New Roman"/>
        </w:rPr>
        <w:t xml:space="preserve">taff at both schools in June </w:t>
      </w:r>
      <w:r w:rsidRPr="00022E34">
        <w:rPr>
          <w:rFonts w:ascii="Times New Roman" w:hAnsi="Times New Roman"/>
        </w:rPr>
        <w:t xml:space="preserve">2011 and made recommendations as to teacher and leadership staffing.  MTP President and other staff participated in 2 parent meetings and 2 staff meetings (one at each school) to provide an overview of the work that would occur at each school.  </w:t>
      </w:r>
      <w:r w:rsidR="004D1AB1" w:rsidRPr="00022E34">
        <w:rPr>
          <w:rFonts w:ascii="Times New Roman" w:hAnsi="Times New Roman"/>
        </w:rPr>
        <w:t xml:space="preserve">MTP staff also participated in Back-To-School Night at OHMS on September 6, 2011.  </w:t>
      </w:r>
      <w:r w:rsidRPr="00022E34">
        <w:rPr>
          <w:rFonts w:ascii="Times New Roman" w:hAnsi="Times New Roman"/>
        </w:rPr>
        <w:t xml:space="preserve">Position descriptions were provided for </w:t>
      </w:r>
      <w:r w:rsidR="006F44C9" w:rsidRPr="00022E34">
        <w:rPr>
          <w:rFonts w:ascii="Times New Roman" w:hAnsi="Times New Roman"/>
        </w:rPr>
        <w:t>two content specialists, a data coach, Behavior Intervention Specialist and Parent Engagement Specialist.  MTP also conducted 4 days of professional development on Culture &amp; Climate (Positive Behavioral Interventions and Support or PBIS) and Building Cultural Capital, the data cycle (Classroom-Focused Improvement Process) or CFIP) and Effective Teaching Strategies.</w:t>
      </w:r>
      <w:r w:rsidR="00CF1B0C" w:rsidRPr="00022E34">
        <w:rPr>
          <w:rFonts w:ascii="Times New Roman" w:hAnsi="Times New Roman"/>
        </w:rPr>
        <w:t xml:space="preserve">  MTP staff did a preliminary analysis of school-wide MSA data.</w:t>
      </w:r>
    </w:p>
    <w:p w:rsidR="00CF1B0C" w:rsidRPr="00022E34" w:rsidRDefault="00CF1B0C" w:rsidP="004F3470">
      <w:pPr>
        <w:spacing w:after="0"/>
        <w:ind w:firstLine="720"/>
        <w:rPr>
          <w:rFonts w:ascii="Times New Roman" w:hAnsi="Times New Roman"/>
        </w:rPr>
      </w:pPr>
    </w:p>
    <w:p w:rsidR="00CF1B0C" w:rsidRPr="00022E34" w:rsidRDefault="00CF1B0C" w:rsidP="007D30F7">
      <w:pPr>
        <w:spacing w:after="0"/>
        <w:rPr>
          <w:rFonts w:ascii="Times New Roman" w:hAnsi="Times New Roman"/>
        </w:rPr>
      </w:pPr>
      <w:r w:rsidRPr="00022E34">
        <w:rPr>
          <w:rFonts w:ascii="Times New Roman" w:hAnsi="Times New Roman"/>
        </w:rPr>
        <w:t xml:space="preserve">MTP exceeded the expectation of access to a leadership coach on a bi-monthly basis by providing a Leadership Coach/Project Manager and Curriculum/Staff Development Coach in schools approximately 4 days a week.  </w:t>
      </w:r>
    </w:p>
    <w:p w:rsidR="00CF1B0C" w:rsidRPr="00022E34" w:rsidRDefault="00CF1B0C" w:rsidP="004F3470">
      <w:pPr>
        <w:spacing w:after="0"/>
        <w:ind w:firstLine="720"/>
        <w:rPr>
          <w:rFonts w:ascii="Times New Roman" w:hAnsi="Times New Roman"/>
        </w:rPr>
      </w:pPr>
    </w:p>
    <w:p w:rsidR="007D30F7" w:rsidRPr="00022E34" w:rsidRDefault="00CF1B0C" w:rsidP="007D30F7">
      <w:pPr>
        <w:spacing w:after="0"/>
        <w:rPr>
          <w:rFonts w:ascii="Times New Roman" w:hAnsi="Times New Roman"/>
        </w:rPr>
      </w:pPr>
      <w:r w:rsidRPr="00022E34">
        <w:rPr>
          <w:rFonts w:ascii="Times New Roman" w:hAnsi="Times New Roman"/>
        </w:rPr>
        <w:t>Due to</w:t>
      </w:r>
      <w:r w:rsidR="00930AD2" w:rsidRPr="00022E34">
        <w:rPr>
          <w:rFonts w:ascii="Times New Roman" w:hAnsi="Times New Roman"/>
        </w:rPr>
        <w:t xml:space="preserve"> the late start of the content </w:t>
      </w:r>
      <w:r w:rsidRPr="00022E34">
        <w:rPr>
          <w:rFonts w:ascii="Times New Roman" w:hAnsi="Times New Roman"/>
        </w:rPr>
        <w:t>specialists and other required personnel, PGCPS and MTP revised the deliverables on September 12, 2011.  MTP participated in Collaborative Planning Meetings, when possible,</w:t>
      </w:r>
      <w:r w:rsidR="007D30F7" w:rsidRPr="00022E34">
        <w:rPr>
          <w:rFonts w:ascii="Times New Roman" w:hAnsi="Times New Roman"/>
        </w:rPr>
        <w:t xml:space="preserve"> to assist content area teacher</w:t>
      </w:r>
      <w:r w:rsidR="00930AD2" w:rsidRPr="00022E34">
        <w:rPr>
          <w:rFonts w:ascii="Times New Roman" w:hAnsi="Times New Roman"/>
        </w:rPr>
        <w:t>s</w:t>
      </w:r>
      <w:r w:rsidR="007D30F7" w:rsidRPr="00022E34">
        <w:rPr>
          <w:rFonts w:ascii="Times New Roman" w:hAnsi="Times New Roman"/>
        </w:rPr>
        <w:t xml:space="preserve"> in implementing the CFIP protocol.  </w:t>
      </w:r>
      <w:r w:rsidRPr="00022E34">
        <w:rPr>
          <w:rFonts w:ascii="Times New Roman" w:hAnsi="Times New Roman"/>
        </w:rPr>
        <w:t xml:space="preserve">MTP also participated in the interview process for content specialists and other personnel.  MTP conducted professional development </w:t>
      </w:r>
      <w:r w:rsidR="007D30F7" w:rsidRPr="00022E34">
        <w:rPr>
          <w:rFonts w:ascii="Times New Roman" w:hAnsi="Times New Roman"/>
        </w:rPr>
        <w:t xml:space="preserve">on the Framework for Teaching and Data Analysis for School Leaders (OHMS).  MYP also re-delivered a professional development session on CFIP, upon the request of PGCPS.  </w:t>
      </w:r>
    </w:p>
    <w:p w:rsidR="007D30F7" w:rsidRPr="00022E34" w:rsidRDefault="007D30F7" w:rsidP="004F3470">
      <w:pPr>
        <w:spacing w:after="0"/>
        <w:ind w:firstLine="720"/>
        <w:rPr>
          <w:rFonts w:ascii="Times New Roman" w:hAnsi="Times New Roman"/>
        </w:rPr>
      </w:pPr>
    </w:p>
    <w:p w:rsidR="00CF1B0C" w:rsidRPr="00022E34" w:rsidRDefault="007D30F7" w:rsidP="007D30F7">
      <w:pPr>
        <w:spacing w:after="0"/>
        <w:rPr>
          <w:rFonts w:ascii="Times New Roman" w:hAnsi="Times New Roman"/>
        </w:rPr>
      </w:pPr>
      <w:r w:rsidRPr="00022E34">
        <w:rPr>
          <w:rFonts w:ascii="Times New Roman" w:hAnsi="Times New Roman"/>
        </w:rPr>
        <w:t xml:space="preserve">In general, MTP staff offered support and technical assistance to school principals on each school’s particular area of focus.  </w:t>
      </w:r>
      <w:r w:rsidR="00076FCF" w:rsidRPr="00022E34">
        <w:rPr>
          <w:rFonts w:ascii="Times New Roman" w:hAnsi="Times New Roman"/>
        </w:rPr>
        <w:t xml:space="preserve">Because </w:t>
      </w:r>
      <w:r w:rsidRPr="00022E34">
        <w:rPr>
          <w:rFonts w:ascii="Times New Roman" w:hAnsi="Times New Roman"/>
        </w:rPr>
        <w:t xml:space="preserve">Thomas Johnson Middle School </w:t>
      </w:r>
      <w:r w:rsidR="00076FCF" w:rsidRPr="00022E34">
        <w:rPr>
          <w:rFonts w:ascii="Times New Roman" w:hAnsi="Times New Roman"/>
        </w:rPr>
        <w:t xml:space="preserve">retained </w:t>
      </w:r>
      <w:r w:rsidR="00995ACC" w:rsidRPr="00022E34">
        <w:rPr>
          <w:rFonts w:ascii="Times New Roman" w:hAnsi="Times New Roman"/>
        </w:rPr>
        <w:t>its</w:t>
      </w:r>
      <w:r w:rsidR="00076FCF" w:rsidRPr="00022E34">
        <w:rPr>
          <w:rFonts w:ascii="Times New Roman" w:hAnsi="Times New Roman"/>
        </w:rPr>
        <w:t xml:space="preserve"> principal from the 2010-2011 school year many reform programs were already in existence.  PBIS had been formally introduced as well as significant work on planning within collaborative planning meetings.  </w:t>
      </w:r>
      <w:r w:rsidR="00740DE4" w:rsidRPr="00022E34">
        <w:rPr>
          <w:rFonts w:ascii="Times New Roman" w:hAnsi="Times New Roman"/>
        </w:rPr>
        <w:t xml:space="preserve">TJMS </w:t>
      </w:r>
      <w:r w:rsidR="00930AD2" w:rsidRPr="00022E34">
        <w:rPr>
          <w:rFonts w:ascii="Times New Roman" w:hAnsi="Times New Roman"/>
        </w:rPr>
        <w:t>choose to deepen its work o</w:t>
      </w:r>
      <w:r w:rsidRPr="00022E34">
        <w:rPr>
          <w:rFonts w:ascii="Times New Roman" w:hAnsi="Times New Roman"/>
        </w:rPr>
        <w:t>n the data cycle and planning for instruction while Oxon Hill M</w:t>
      </w:r>
      <w:r w:rsidR="00930AD2" w:rsidRPr="00022E34">
        <w:rPr>
          <w:rFonts w:ascii="Times New Roman" w:hAnsi="Times New Roman"/>
        </w:rPr>
        <w:t>iddle School choose to focus it</w:t>
      </w:r>
      <w:r w:rsidRPr="00022E34">
        <w:rPr>
          <w:rFonts w:ascii="Times New Roman" w:hAnsi="Times New Roman"/>
        </w:rPr>
        <w:t xml:space="preserve">s initial efforts on Culture and Climate and student engagement.  Both schools worked to refine the PBIS programs implemented in previous years and spent a significant amount of time deciding upon what incentives would work best with their respective populations.  </w:t>
      </w:r>
    </w:p>
    <w:p w:rsidR="004F3470" w:rsidRPr="00022E34" w:rsidRDefault="004F3470" w:rsidP="004F3470">
      <w:pPr>
        <w:spacing w:after="0"/>
        <w:rPr>
          <w:rFonts w:ascii="Times New Roman" w:hAnsi="Times New Roman"/>
        </w:rPr>
      </w:pPr>
    </w:p>
    <w:p w:rsidR="004F3470" w:rsidRPr="00022E34" w:rsidRDefault="004F3470" w:rsidP="007D30F7">
      <w:pPr>
        <w:spacing w:after="0"/>
        <w:rPr>
          <w:rFonts w:ascii="Times New Roman" w:hAnsi="Times New Roman"/>
          <w:b/>
        </w:rPr>
      </w:pPr>
      <w:r w:rsidRPr="00022E34">
        <w:rPr>
          <w:rFonts w:ascii="Times New Roman" w:hAnsi="Times New Roman"/>
          <w:b/>
        </w:rPr>
        <w:t>Second Quarter</w:t>
      </w:r>
    </w:p>
    <w:p w:rsidR="003C3DF7" w:rsidRPr="00022E34" w:rsidRDefault="003C3DF7" w:rsidP="007D30F7">
      <w:pPr>
        <w:spacing w:after="0"/>
        <w:rPr>
          <w:rFonts w:ascii="Times New Roman" w:hAnsi="Times New Roman"/>
        </w:rPr>
      </w:pPr>
      <w:r w:rsidRPr="00022E34">
        <w:rPr>
          <w:rFonts w:ascii="Times New Roman" w:hAnsi="Times New Roman"/>
        </w:rPr>
        <w:t>The speed of implementation was accelerated with the arrival</w:t>
      </w:r>
      <w:r w:rsidR="00930AD2" w:rsidRPr="00022E34">
        <w:rPr>
          <w:rFonts w:ascii="Times New Roman" w:hAnsi="Times New Roman"/>
        </w:rPr>
        <w:t xml:space="preserve"> of two content specialists, a Data C</w:t>
      </w:r>
      <w:r w:rsidRPr="00022E34">
        <w:rPr>
          <w:rFonts w:ascii="Times New Roman" w:hAnsi="Times New Roman"/>
        </w:rPr>
        <w:t xml:space="preserve">oach, a Behavior Intervention Specialist and Parent Engagement Specialist.  </w:t>
      </w:r>
      <w:r w:rsidR="00564235" w:rsidRPr="00022E34">
        <w:rPr>
          <w:rFonts w:ascii="Times New Roman" w:hAnsi="Times New Roman"/>
        </w:rPr>
        <w:t xml:space="preserve">During the week of November 15, 2011, MTP conducted a 3-day Orientation for Coaches and Specialists with sessions on making staff familiar with the SIG grants and the relationship between PGCPS and MTP, the coaching relationship and adult learners, and leading the CFIP protocol.  The Orientation also included significant time for action planning with each school team.  </w:t>
      </w:r>
    </w:p>
    <w:p w:rsidR="00564235" w:rsidRPr="00022E34" w:rsidRDefault="00564235" w:rsidP="00564235">
      <w:pPr>
        <w:spacing w:after="0"/>
        <w:rPr>
          <w:rFonts w:ascii="Times New Roman" w:hAnsi="Times New Roman"/>
        </w:rPr>
      </w:pPr>
    </w:p>
    <w:p w:rsidR="00076FCF" w:rsidRPr="00022E34" w:rsidRDefault="00E1057C" w:rsidP="00564235">
      <w:pPr>
        <w:spacing w:after="0"/>
        <w:rPr>
          <w:rFonts w:ascii="Times New Roman" w:hAnsi="Times New Roman"/>
        </w:rPr>
      </w:pPr>
      <w:r w:rsidRPr="00022E34">
        <w:rPr>
          <w:rFonts w:ascii="Times New Roman" w:hAnsi="Times New Roman"/>
        </w:rPr>
        <w:t>Leadership Staff at both schools began to implement new programs and revise existing protocols for higher efficiency in supporting student achievement.  Content specialists delivered professional development sessions of various lengths on observed areas of need.  These sessions continue to give teachers explicit instruction in writing SMART objectives and planning for instruction.  Each school also instituted ½-day data analysis and planning sessions</w:t>
      </w:r>
      <w:r w:rsidR="00076FCF" w:rsidRPr="00022E34">
        <w:rPr>
          <w:rFonts w:ascii="Times New Roman" w:hAnsi="Times New Roman"/>
        </w:rPr>
        <w:t xml:space="preserve"> after FAS testing for content area teachers.  </w:t>
      </w:r>
    </w:p>
    <w:p w:rsidR="00076FCF" w:rsidRPr="00022E34" w:rsidRDefault="00076FCF" w:rsidP="00564235">
      <w:pPr>
        <w:spacing w:after="0"/>
        <w:rPr>
          <w:rFonts w:ascii="Times New Roman" w:hAnsi="Times New Roman"/>
        </w:rPr>
      </w:pPr>
    </w:p>
    <w:p w:rsidR="00564235" w:rsidRPr="00022E34" w:rsidRDefault="00076FCF" w:rsidP="00564235">
      <w:pPr>
        <w:spacing w:after="0"/>
        <w:rPr>
          <w:rFonts w:ascii="Times New Roman" w:hAnsi="Times New Roman"/>
        </w:rPr>
      </w:pPr>
      <w:r w:rsidRPr="00022E34">
        <w:rPr>
          <w:rFonts w:ascii="Times New Roman" w:hAnsi="Times New Roman"/>
        </w:rPr>
        <w:lastRenderedPageBreak/>
        <w:t>As previously stated, each school has a different area of focus.</w:t>
      </w:r>
      <w:r w:rsidR="00740DE4" w:rsidRPr="00022E34">
        <w:rPr>
          <w:rFonts w:ascii="Times New Roman" w:hAnsi="Times New Roman"/>
        </w:rPr>
        <w:t xml:space="preserve"> </w:t>
      </w:r>
      <w:r w:rsidRPr="00022E34">
        <w:rPr>
          <w:rFonts w:ascii="Times New Roman" w:hAnsi="Times New Roman"/>
        </w:rPr>
        <w:t>TJMS is offering additional professional development in Classroom Management</w:t>
      </w:r>
      <w:r w:rsidR="00740DE4" w:rsidRPr="00022E34">
        <w:rPr>
          <w:rFonts w:ascii="Times New Roman" w:hAnsi="Times New Roman"/>
        </w:rPr>
        <w:t xml:space="preserve"> and Differentiated Instruction while OHMS is developing its PEACE Initiative (Positive Energy Activates Constant Elevation), a comprehensive program aimed at school culture, climate and empowerment.  Both schools continue to review processes and procedures for operations and documentation.  </w:t>
      </w:r>
    </w:p>
    <w:p w:rsidR="00740DE4" w:rsidRPr="00022E34" w:rsidRDefault="00740DE4" w:rsidP="00564235">
      <w:pPr>
        <w:spacing w:after="0"/>
        <w:rPr>
          <w:rFonts w:ascii="Times New Roman" w:hAnsi="Times New Roman"/>
        </w:rPr>
      </w:pPr>
    </w:p>
    <w:p w:rsidR="00740DE4" w:rsidRPr="00022E34" w:rsidRDefault="00740DE4" w:rsidP="00564235">
      <w:pPr>
        <w:spacing w:after="0"/>
        <w:rPr>
          <w:rFonts w:ascii="Times New Roman" w:hAnsi="Times New Roman"/>
        </w:rPr>
      </w:pPr>
      <w:r w:rsidRPr="00022E34">
        <w:rPr>
          <w:rFonts w:ascii="Times New Roman" w:hAnsi="Times New Roman"/>
        </w:rPr>
        <w:t xml:space="preserve">MTP and PGCPS </w:t>
      </w:r>
      <w:r w:rsidR="00954FAA" w:rsidRPr="00022E34">
        <w:rPr>
          <w:rFonts w:ascii="Times New Roman" w:hAnsi="Times New Roman"/>
        </w:rPr>
        <w:t>staffs began the implementation of Mercury Online in both schools and continue</w:t>
      </w:r>
      <w:r w:rsidRPr="00022E34">
        <w:rPr>
          <w:rFonts w:ascii="Times New Roman" w:hAnsi="Times New Roman"/>
        </w:rPr>
        <w:t xml:space="preserve"> to work on procedures to ensure that this program will be successful for all students who participate.  </w:t>
      </w:r>
    </w:p>
    <w:p w:rsidR="00740DE4" w:rsidRPr="00022E34" w:rsidRDefault="00740DE4" w:rsidP="00564235">
      <w:pPr>
        <w:spacing w:after="0"/>
        <w:rPr>
          <w:rFonts w:ascii="Times New Roman" w:hAnsi="Times New Roman"/>
        </w:rPr>
      </w:pPr>
    </w:p>
    <w:p w:rsidR="00740DE4" w:rsidRPr="00022E34" w:rsidRDefault="00740DE4" w:rsidP="00564235">
      <w:pPr>
        <w:spacing w:after="0"/>
        <w:rPr>
          <w:rFonts w:ascii="Times New Roman" w:hAnsi="Times New Roman"/>
        </w:rPr>
      </w:pPr>
      <w:r w:rsidRPr="00022E34">
        <w:rPr>
          <w:rFonts w:ascii="Times New Roman" w:hAnsi="Times New Roman"/>
        </w:rPr>
        <w:t>In January of 2012 upon an agreement between MTP and PGCPS, MTP brought in a new Leadership Coach/Project manager who has formalized and refined the Executive Coaching sessions and increased the amount of communication between MTP and the PGCPS Turnaround Director.</w:t>
      </w:r>
    </w:p>
    <w:p w:rsidR="00740DE4" w:rsidRDefault="00740DE4" w:rsidP="00564235">
      <w:pPr>
        <w:spacing w:after="0"/>
        <w:rPr>
          <w:rFonts w:ascii="Times New Roman" w:hAnsi="Times New Roman"/>
          <w:b/>
          <w:color w:val="943634" w:themeColor="accent2" w:themeShade="BF"/>
        </w:rPr>
      </w:pPr>
    </w:p>
    <w:p w:rsidR="00740DE4" w:rsidRPr="000912B4" w:rsidRDefault="000912B4" w:rsidP="00564235">
      <w:pPr>
        <w:spacing w:after="0"/>
        <w:rPr>
          <w:rFonts w:ascii="Times New Roman" w:hAnsi="Times New Roman"/>
          <w:b/>
        </w:rPr>
      </w:pPr>
      <w:r w:rsidRPr="000912B4">
        <w:rPr>
          <w:rFonts w:ascii="Times New Roman" w:hAnsi="Times New Roman"/>
          <w:b/>
        </w:rPr>
        <w:t>Third Quarter</w:t>
      </w:r>
    </w:p>
    <w:p w:rsidR="000912B4" w:rsidRDefault="000912B4" w:rsidP="00564235">
      <w:pPr>
        <w:spacing w:after="0"/>
        <w:rPr>
          <w:rFonts w:ascii="Times New Roman" w:hAnsi="Times New Roman"/>
        </w:rPr>
      </w:pPr>
      <w:r>
        <w:rPr>
          <w:rFonts w:ascii="Times New Roman" w:hAnsi="Times New Roman"/>
        </w:rPr>
        <w:t>Provided below is a summary of work completed during the third quarter for both SIG II schools:</w:t>
      </w:r>
    </w:p>
    <w:p w:rsidR="000912B4" w:rsidRPr="000912B4" w:rsidRDefault="000912B4" w:rsidP="00564235">
      <w:pPr>
        <w:spacing w:after="0"/>
        <w:rPr>
          <w:rFonts w:ascii="Times New Roman" w:hAnsi="Times New Roman"/>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Parent Meetings</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Participated in Parent Teacher Meeting – March 13, 2012 @ TJMS</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Participated in Parent Teacher Meeting – March 27, 2012 @ OHMS</w:t>
      </w:r>
    </w:p>
    <w:p w:rsidR="000912B4" w:rsidRPr="000912B4" w:rsidRDefault="000912B4" w:rsidP="000912B4">
      <w:pPr>
        <w:spacing w:after="0" w:line="240" w:lineRule="auto"/>
        <w:ind w:left="720"/>
        <w:contextualSpacing/>
        <w:rPr>
          <w:rFonts w:ascii="Cambria" w:eastAsia="MS Mincho" w:hAnsi="Cambria"/>
          <w:sz w:val="24"/>
          <w:szCs w:val="24"/>
        </w:rPr>
      </w:pPr>
    </w:p>
    <w:p w:rsid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Collaborative Planning/Coaching</w:t>
      </w:r>
    </w:p>
    <w:p w:rsidR="000912B4" w:rsidRPr="000912B4" w:rsidRDefault="000912B4" w:rsidP="000912B4">
      <w:pPr>
        <w:numPr>
          <w:ilvl w:val="0"/>
          <w:numId w:val="38"/>
        </w:numPr>
        <w:spacing w:after="0" w:line="240" w:lineRule="auto"/>
        <w:contextualSpacing/>
        <w:rPr>
          <w:rFonts w:ascii="Cambria" w:eastAsia="MS Mincho" w:hAnsi="Cambria"/>
          <w:sz w:val="24"/>
          <w:szCs w:val="24"/>
        </w:rPr>
      </w:pPr>
      <w:r w:rsidRPr="000912B4">
        <w:rPr>
          <w:rFonts w:ascii="Cambria" w:eastAsia="MS Mincho" w:hAnsi="Cambria"/>
          <w:sz w:val="24"/>
          <w:szCs w:val="24"/>
        </w:rPr>
        <w:t>Weekly meetings with MTP staff and coaching staff (Literacy Coach, Math Coach, Data Coach) at each campus to guide collaborative planning/data analysis protocol;</w:t>
      </w:r>
    </w:p>
    <w:p w:rsidR="000912B4" w:rsidRPr="000912B4" w:rsidRDefault="000912B4" w:rsidP="000912B4">
      <w:pPr>
        <w:numPr>
          <w:ilvl w:val="0"/>
          <w:numId w:val="38"/>
        </w:numPr>
        <w:spacing w:after="0" w:line="240" w:lineRule="auto"/>
        <w:contextualSpacing/>
        <w:rPr>
          <w:rFonts w:ascii="Cambria" w:eastAsia="MS Mincho" w:hAnsi="Cambria"/>
          <w:sz w:val="24"/>
          <w:szCs w:val="24"/>
        </w:rPr>
      </w:pPr>
      <w:r w:rsidRPr="000912B4">
        <w:rPr>
          <w:rFonts w:ascii="Cambria" w:eastAsia="MS Mincho" w:hAnsi="Cambria"/>
          <w:sz w:val="24"/>
          <w:szCs w:val="24"/>
        </w:rPr>
        <w:t>Attend content-specific collaborative planning meetings when possible;</w:t>
      </w:r>
    </w:p>
    <w:p w:rsidR="000912B4" w:rsidRPr="000912B4" w:rsidRDefault="000912B4" w:rsidP="000912B4">
      <w:pPr>
        <w:numPr>
          <w:ilvl w:val="0"/>
          <w:numId w:val="38"/>
        </w:numPr>
        <w:spacing w:after="0" w:line="240" w:lineRule="auto"/>
        <w:contextualSpacing/>
        <w:rPr>
          <w:rFonts w:ascii="Cambria" w:eastAsia="MS Mincho" w:hAnsi="Cambria"/>
          <w:sz w:val="24"/>
          <w:szCs w:val="24"/>
        </w:rPr>
      </w:pPr>
      <w:r w:rsidRPr="000912B4">
        <w:rPr>
          <w:rFonts w:ascii="Cambria" w:eastAsia="MS Mincho" w:hAnsi="Cambria"/>
          <w:sz w:val="24"/>
          <w:szCs w:val="24"/>
        </w:rPr>
        <w:t>Assist in the planning and participate in ½-day content-specific professional development sessions.</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Personal Student Achievement Plans (PSAP)</w:t>
      </w:r>
    </w:p>
    <w:p w:rsidR="000912B4" w:rsidRPr="000912B4" w:rsidRDefault="000912B4" w:rsidP="000912B4">
      <w:pPr>
        <w:numPr>
          <w:ilvl w:val="0"/>
          <w:numId w:val="39"/>
        </w:numPr>
        <w:spacing w:after="0" w:line="240" w:lineRule="auto"/>
        <w:contextualSpacing/>
        <w:rPr>
          <w:rFonts w:ascii="Cambria" w:eastAsia="MS Mincho" w:hAnsi="Cambria"/>
          <w:sz w:val="24"/>
          <w:szCs w:val="24"/>
        </w:rPr>
      </w:pPr>
      <w:r w:rsidRPr="000912B4">
        <w:rPr>
          <w:rFonts w:ascii="Cambria" w:eastAsia="MS Mincho" w:hAnsi="Cambria"/>
          <w:sz w:val="24"/>
          <w:szCs w:val="24"/>
        </w:rPr>
        <w:t>Designed a PSAP form specific to PGCPS students and beginning data collection process.  Forms anticipated completion – June 30, 2012</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Mercury On-Line</w:t>
      </w:r>
    </w:p>
    <w:p w:rsidR="000912B4" w:rsidRPr="000912B4" w:rsidRDefault="000912B4" w:rsidP="000912B4">
      <w:pPr>
        <w:numPr>
          <w:ilvl w:val="0"/>
          <w:numId w:val="39"/>
        </w:numPr>
        <w:spacing w:after="0" w:line="240" w:lineRule="auto"/>
        <w:contextualSpacing/>
        <w:rPr>
          <w:rFonts w:ascii="Cambria" w:eastAsia="MS Mincho" w:hAnsi="Cambria"/>
          <w:sz w:val="24"/>
          <w:szCs w:val="24"/>
        </w:rPr>
      </w:pPr>
      <w:r w:rsidRPr="000912B4">
        <w:rPr>
          <w:rFonts w:ascii="Cambria" w:eastAsia="MS Mincho" w:hAnsi="Cambria"/>
          <w:sz w:val="24"/>
          <w:szCs w:val="24"/>
        </w:rPr>
        <w:t>MTP staff monitoring Mercury On-Line during after-school hours;</w:t>
      </w:r>
    </w:p>
    <w:p w:rsidR="000912B4" w:rsidRPr="000912B4" w:rsidRDefault="000912B4" w:rsidP="000912B4">
      <w:pPr>
        <w:numPr>
          <w:ilvl w:val="0"/>
          <w:numId w:val="39"/>
        </w:numPr>
        <w:spacing w:after="0" w:line="240" w:lineRule="auto"/>
        <w:contextualSpacing/>
        <w:rPr>
          <w:rFonts w:ascii="Cambria" w:eastAsia="MS Mincho" w:hAnsi="Cambria"/>
          <w:sz w:val="24"/>
          <w:szCs w:val="24"/>
        </w:rPr>
      </w:pPr>
      <w:r w:rsidRPr="000912B4">
        <w:rPr>
          <w:rFonts w:ascii="Cambria" w:eastAsia="MS Mincho" w:hAnsi="Cambria"/>
          <w:sz w:val="24"/>
          <w:szCs w:val="24"/>
        </w:rPr>
        <w:t>Re-registered OHMS students for assessment and enrollment in Mercury courses;</w:t>
      </w:r>
    </w:p>
    <w:p w:rsidR="000912B4" w:rsidRPr="000912B4" w:rsidRDefault="000912B4" w:rsidP="000912B4">
      <w:pPr>
        <w:numPr>
          <w:ilvl w:val="0"/>
          <w:numId w:val="39"/>
        </w:numPr>
        <w:spacing w:after="0" w:line="240" w:lineRule="auto"/>
        <w:contextualSpacing/>
        <w:rPr>
          <w:rFonts w:ascii="Cambria" w:eastAsia="MS Mincho" w:hAnsi="Cambria"/>
          <w:sz w:val="24"/>
          <w:szCs w:val="24"/>
        </w:rPr>
      </w:pPr>
      <w:r w:rsidRPr="000912B4">
        <w:rPr>
          <w:rFonts w:ascii="Cambria" w:eastAsia="MS Mincho" w:hAnsi="Cambria"/>
          <w:sz w:val="24"/>
          <w:szCs w:val="24"/>
        </w:rPr>
        <w:t>Direct training of TJMS teachers assigned to work with Mercury On-Line (training for OHMS teacher to be scheduled);</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Leadership Coaching</w:t>
      </w:r>
    </w:p>
    <w:p w:rsidR="000912B4" w:rsidRPr="000912B4" w:rsidRDefault="000912B4" w:rsidP="000912B4">
      <w:pPr>
        <w:numPr>
          <w:ilvl w:val="0"/>
          <w:numId w:val="40"/>
        </w:numPr>
        <w:spacing w:after="0" w:line="240" w:lineRule="auto"/>
        <w:contextualSpacing/>
        <w:rPr>
          <w:rFonts w:ascii="Cambria" w:eastAsia="MS Mincho" w:hAnsi="Cambria"/>
          <w:sz w:val="24"/>
          <w:szCs w:val="24"/>
        </w:rPr>
      </w:pPr>
      <w:r w:rsidRPr="000912B4">
        <w:rPr>
          <w:rFonts w:ascii="Cambria" w:eastAsia="MS Mincho" w:hAnsi="Cambria"/>
          <w:sz w:val="24"/>
          <w:szCs w:val="24"/>
        </w:rPr>
        <w:t>MTP Leadership Coach/Project Manager meeting weekly with school principals and leadership teams</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lastRenderedPageBreak/>
        <w:t>Professional Development</w:t>
      </w:r>
    </w:p>
    <w:p w:rsidR="000912B4" w:rsidRPr="000912B4" w:rsidRDefault="000912B4" w:rsidP="000912B4">
      <w:pPr>
        <w:numPr>
          <w:ilvl w:val="0"/>
          <w:numId w:val="40"/>
        </w:numPr>
        <w:spacing w:after="0" w:line="240" w:lineRule="auto"/>
        <w:contextualSpacing/>
        <w:rPr>
          <w:rFonts w:ascii="Cambria" w:eastAsia="MS Mincho" w:hAnsi="Cambria"/>
          <w:sz w:val="24"/>
          <w:szCs w:val="24"/>
        </w:rPr>
      </w:pPr>
      <w:r w:rsidRPr="000912B4">
        <w:rPr>
          <w:rFonts w:ascii="Cambria" w:eastAsia="MS Mincho" w:hAnsi="Cambria"/>
          <w:sz w:val="24"/>
          <w:szCs w:val="24"/>
        </w:rPr>
        <w:t>February ½ day PD – Depth of Knowledge</w:t>
      </w:r>
    </w:p>
    <w:p w:rsidR="000912B4" w:rsidRPr="000912B4" w:rsidRDefault="000912B4" w:rsidP="000912B4">
      <w:pPr>
        <w:numPr>
          <w:ilvl w:val="0"/>
          <w:numId w:val="40"/>
        </w:numPr>
        <w:spacing w:after="0" w:line="240" w:lineRule="auto"/>
        <w:contextualSpacing/>
        <w:rPr>
          <w:rFonts w:ascii="Cambria" w:eastAsia="MS Mincho" w:hAnsi="Cambria"/>
          <w:sz w:val="24"/>
          <w:szCs w:val="24"/>
        </w:rPr>
      </w:pPr>
      <w:r w:rsidRPr="000912B4">
        <w:rPr>
          <w:rFonts w:ascii="Cambria" w:eastAsia="MS Mincho" w:hAnsi="Cambria"/>
          <w:sz w:val="24"/>
          <w:szCs w:val="24"/>
        </w:rPr>
        <w:t>April ½ day PD – Individual Professional Development Plans</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Individual Professional Development Plans (IPDP)</w:t>
      </w:r>
    </w:p>
    <w:p w:rsidR="000912B4" w:rsidRPr="000912B4" w:rsidRDefault="000912B4" w:rsidP="000912B4">
      <w:pPr>
        <w:numPr>
          <w:ilvl w:val="0"/>
          <w:numId w:val="41"/>
        </w:numPr>
        <w:spacing w:after="0" w:line="240" w:lineRule="auto"/>
        <w:contextualSpacing/>
        <w:rPr>
          <w:rFonts w:ascii="Cambria" w:eastAsia="MS Mincho" w:hAnsi="Cambria"/>
          <w:sz w:val="24"/>
          <w:szCs w:val="24"/>
        </w:rPr>
      </w:pPr>
      <w:r w:rsidRPr="000912B4">
        <w:rPr>
          <w:rFonts w:ascii="Cambria" w:eastAsia="MS Mincho" w:hAnsi="Cambria"/>
          <w:sz w:val="24"/>
          <w:szCs w:val="24"/>
        </w:rPr>
        <w:t>Designed an IPDP form specific to PGCPS teachers and beginning data collection process.  Forms anticipated completion – Week of June 4, 2012</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MSDE</w:t>
      </w:r>
    </w:p>
    <w:p w:rsidR="000912B4" w:rsidRPr="000912B4" w:rsidRDefault="000912B4" w:rsidP="000912B4">
      <w:pPr>
        <w:numPr>
          <w:ilvl w:val="0"/>
          <w:numId w:val="41"/>
        </w:numPr>
        <w:spacing w:after="0" w:line="240" w:lineRule="auto"/>
        <w:contextualSpacing/>
        <w:rPr>
          <w:rFonts w:ascii="Cambria" w:eastAsia="MS Mincho" w:hAnsi="Cambria"/>
          <w:sz w:val="24"/>
          <w:szCs w:val="24"/>
        </w:rPr>
      </w:pPr>
      <w:r w:rsidRPr="000912B4">
        <w:rPr>
          <w:rFonts w:ascii="Cambria" w:eastAsia="MS Mincho" w:hAnsi="Cambria"/>
          <w:sz w:val="24"/>
          <w:szCs w:val="24"/>
        </w:rPr>
        <w:t>Assisted TJMS on document organization for MSDE SIG II Audit;</w:t>
      </w:r>
    </w:p>
    <w:p w:rsidR="000912B4" w:rsidRPr="000912B4" w:rsidRDefault="000912B4" w:rsidP="000912B4">
      <w:pPr>
        <w:numPr>
          <w:ilvl w:val="0"/>
          <w:numId w:val="41"/>
        </w:numPr>
        <w:spacing w:after="0" w:line="240" w:lineRule="auto"/>
        <w:contextualSpacing/>
        <w:rPr>
          <w:rFonts w:ascii="Cambria" w:eastAsia="MS Mincho" w:hAnsi="Cambria"/>
          <w:sz w:val="24"/>
          <w:szCs w:val="24"/>
        </w:rPr>
      </w:pPr>
      <w:r w:rsidRPr="000912B4">
        <w:rPr>
          <w:rFonts w:ascii="Cambria" w:eastAsia="MS Mincho" w:hAnsi="Cambria"/>
          <w:sz w:val="24"/>
          <w:szCs w:val="24"/>
        </w:rPr>
        <w:t>Lead OHMS on document organization for MSDE SIG II Audit</w:t>
      </w:r>
    </w:p>
    <w:p w:rsidR="000912B4" w:rsidRPr="000912B4" w:rsidRDefault="000912B4" w:rsidP="000912B4">
      <w:pPr>
        <w:spacing w:after="0" w:line="240" w:lineRule="auto"/>
        <w:rPr>
          <w:rFonts w:ascii="Cambria" w:eastAsia="MS Mincho" w:hAnsi="Cambria"/>
          <w:sz w:val="24"/>
          <w:szCs w:val="24"/>
        </w:rPr>
      </w:pPr>
    </w:p>
    <w:p w:rsidR="000912B4" w:rsidRPr="000912B4" w:rsidRDefault="000912B4" w:rsidP="000912B4">
      <w:pPr>
        <w:spacing w:after="0" w:line="240" w:lineRule="auto"/>
        <w:rPr>
          <w:rFonts w:ascii="Cambria" w:eastAsia="MS Mincho" w:hAnsi="Cambria"/>
          <w:sz w:val="24"/>
          <w:szCs w:val="24"/>
        </w:rPr>
      </w:pPr>
      <w:r w:rsidRPr="000912B4">
        <w:rPr>
          <w:rFonts w:ascii="Cambria" w:eastAsia="MS Mincho" w:hAnsi="Cambria"/>
          <w:sz w:val="24"/>
          <w:szCs w:val="24"/>
        </w:rPr>
        <w:t>Looking ahead to Quarter 4</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Mosaica Turnaround Partners to host a parent/student event at each school during the fourth quarter.  We anticipate that it will be held in conjunction with a welcoming event for incoming students for the 2012-13 school year.  Date to be announced.</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Student schedules – MTP staff working with school staff to create 2012-13 master schedule to ensure that students are placed according to their academic needs</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MTP staff will begin a regular meeting schedule with the Behavior Intervention Specialists and Community Engagement Specialists</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Personal Student Achievement Plans – Anticipated completion for returning students  - July 1/ New students to be completed during the summer 2012 and ongoing as enrolled</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Individual Professional Development Plans – Anticipated completion week of June 4, 2012</w:t>
      </w:r>
    </w:p>
    <w:p w:rsidR="000912B4" w:rsidRPr="000912B4" w:rsidRDefault="000912B4" w:rsidP="000912B4">
      <w:pPr>
        <w:numPr>
          <w:ilvl w:val="0"/>
          <w:numId w:val="37"/>
        </w:numPr>
        <w:spacing w:after="0" w:line="240" w:lineRule="auto"/>
        <w:contextualSpacing/>
        <w:rPr>
          <w:rFonts w:ascii="Cambria" w:eastAsia="MS Mincho" w:hAnsi="Cambria"/>
          <w:sz w:val="24"/>
          <w:szCs w:val="24"/>
        </w:rPr>
      </w:pPr>
      <w:r w:rsidRPr="000912B4">
        <w:rPr>
          <w:rFonts w:ascii="Cambria" w:eastAsia="MS Mincho" w:hAnsi="Cambria"/>
          <w:sz w:val="24"/>
          <w:szCs w:val="24"/>
        </w:rPr>
        <w:t>Planning for 2012 -13 school year including year-long PD plan based on IPDP and PSAP data</w:t>
      </w:r>
    </w:p>
    <w:p w:rsidR="00564235" w:rsidRDefault="00564235" w:rsidP="00564235">
      <w:pPr>
        <w:spacing w:after="0"/>
        <w:rPr>
          <w:rFonts w:ascii="Times New Roman" w:hAnsi="Times New Roman"/>
          <w:b/>
          <w:color w:val="943634" w:themeColor="accent2" w:themeShade="BF"/>
        </w:rPr>
      </w:pPr>
    </w:p>
    <w:p w:rsidR="003C3DF7" w:rsidRDefault="003C3DF7" w:rsidP="007D30F7">
      <w:pPr>
        <w:spacing w:after="0"/>
        <w:rPr>
          <w:rFonts w:ascii="Times New Roman" w:hAnsi="Times New Roman"/>
          <w:b/>
          <w:color w:val="943634" w:themeColor="accent2" w:themeShade="BF"/>
        </w:rPr>
      </w:pPr>
    </w:p>
    <w:p w:rsidR="007D30F7" w:rsidRPr="004F3470" w:rsidRDefault="007D30F7" w:rsidP="007D30F7">
      <w:pPr>
        <w:spacing w:after="0"/>
        <w:rPr>
          <w:rFonts w:ascii="Times New Roman" w:hAnsi="Times New Roman"/>
          <w:b/>
          <w:color w:val="943634" w:themeColor="accent2" w:themeShade="BF"/>
        </w:rPr>
      </w:pPr>
    </w:p>
    <w:p w:rsidR="00673F45" w:rsidRPr="004F3470" w:rsidRDefault="00673F45" w:rsidP="00AD06E6">
      <w:pPr>
        <w:spacing w:after="0"/>
        <w:rPr>
          <w:rFonts w:ascii="Times New Roman" w:hAnsi="Times New Roman"/>
          <w:b/>
          <w:color w:val="C0504D" w:themeColor="accent2"/>
        </w:rPr>
      </w:pPr>
    </w:p>
    <w:p w:rsidR="006E263B" w:rsidRDefault="006E263B" w:rsidP="00AB3F26">
      <w:pPr>
        <w:spacing w:after="0"/>
        <w:ind w:firstLine="720"/>
        <w:rPr>
          <w:rFonts w:ascii="Times New Roman" w:hAnsi="Times New Roman"/>
          <w:b/>
          <w:sz w:val="24"/>
          <w:szCs w:val="24"/>
          <w:u w:val="single"/>
        </w:rPr>
      </w:pPr>
    </w:p>
    <w:p w:rsidR="006E263B" w:rsidRDefault="006E263B" w:rsidP="00AB3F26">
      <w:pPr>
        <w:spacing w:after="0"/>
        <w:ind w:firstLine="720"/>
        <w:rPr>
          <w:rFonts w:ascii="Times New Roman" w:hAnsi="Times New Roman"/>
          <w:b/>
          <w:sz w:val="24"/>
          <w:szCs w:val="24"/>
          <w:u w:val="single"/>
        </w:rPr>
      </w:pPr>
    </w:p>
    <w:p w:rsidR="00E81B14" w:rsidRDefault="00E81B14" w:rsidP="00EC4545">
      <w:pPr>
        <w:spacing w:line="240" w:lineRule="auto"/>
        <w:rPr>
          <w:rFonts w:ascii="Times New Roman" w:hAnsi="Times New Roman"/>
          <w:b/>
          <w:sz w:val="28"/>
          <w:szCs w:val="28"/>
          <w:u w:val="single"/>
        </w:rPr>
      </w:pPr>
    </w:p>
    <w:p w:rsidR="00E81B14" w:rsidRDefault="00E81B14" w:rsidP="00EC4545">
      <w:pPr>
        <w:spacing w:line="240" w:lineRule="auto"/>
        <w:rPr>
          <w:rFonts w:ascii="Times New Roman" w:hAnsi="Times New Roman"/>
          <w:b/>
          <w:sz w:val="28"/>
          <w:szCs w:val="28"/>
          <w:u w:val="single"/>
        </w:rPr>
      </w:pPr>
    </w:p>
    <w:p w:rsidR="00545312" w:rsidRDefault="00545312" w:rsidP="00EC4545">
      <w:pPr>
        <w:spacing w:line="240" w:lineRule="auto"/>
        <w:rPr>
          <w:rFonts w:ascii="Times New Roman" w:hAnsi="Times New Roman"/>
          <w:b/>
          <w:sz w:val="28"/>
          <w:szCs w:val="28"/>
          <w:u w:val="single"/>
        </w:rPr>
      </w:pPr>
    </w:p>
    <w:p w:rsidR="00545312" w:rsidRDefault="00545312" w:rsidP="00EC4545">
      <w:pPr>
        <w:spacing w:line="240" w:lineRule="auto"/>
        <w:rPr>
          <w:rFonts w:ascii="Times New Roman" w:hAnsi="Times New Roman"/>
          <w:b/>
          <w:sz w:val="28"/>
          <w:szCs w:val="28"/>
          <w:u w:val="single"/>
        </w:rPr>
      </w:pPr>
    </w:p>
    <w:p w:rsidR="00545312" w:rsidRDefault="00545312" w:rsidP="00EC4545">
      <w:pPr>
        <w:spacing w:line="240" w:lineRule="auto"/>
        <w:rPr>
          <w:rFonts w:ascii="Times New Roman" w:hAnsi="Times New Roman"/>
          <w:b/>
          <w:sz w:val="28"/>
          <w:szCs w:val="28"/>
          <w:u w:val="single"/>
        </w:rPr>
      </w:pPr>
    </w:p>
    <w:p w:rsidR="0005496B" w:rsidRPr="007A67AE" w:rsidRDefault="0005496B" w:rsidP="00EC4545">
      <w:pPr>
        <w:spacing w:line="240" w:lineRule="auto"/>
        <w:rPr>
          <w:rFonts w:ascii="Times New Roman" w:hAnsi="Times New Roman"/>
          <w:b/>
          <w:sz w:val="28"/>
          <w:szCs w:val="28"/>
          <w:u w:val="single"/>
        </w:rPr>
      </w:pPr>
      <w:bookmarkStart w:id="0" w:name="_GoBack"/>
      <w:bookmarkEnd w:id="0"/>
      <w:r w:rsidRPr="007A67AE">
        <w:rPr>
          <w:rFonts w:ascii="Times New Roman" w:hAnsi="Times New Roman"/>
          <w:b/>
          <w:sz w:val="28"/>
          <w:szCs w:val="28"/>
          <w:u w:val="single"/>
        </w:rPr>
        <w:lastRenderedPageBreak/>
        <w:t>Part III. Progress</w:t>
      </w:r>
    </w:p>
    <w:p w:rsidR="0005496B" w:rsidRPr="009316C5" w:rsidRDefault="0005496B" w:rsidP="00EC4545">
      <w:pPr>
        <w:rPr>
          <w:rFonts w:ascii="Times New Roman" w:hAnsi="Times New Roman"/>
          <w:sz w:val="24"/>
          <w:szCs w:val="24"/>
          <w:u w:val="single"/>
        </w:rPr>
      </w:pPr>
      <w:r w:rsidRPr="009316C5">
        <w:rPr>
          <w:rFonts w:ascii="Times New Roman" w:hAnsi="Times New Roman"/>
          <w:b/>
          <w:sz w:val="24"/>
          <w:szCs w:val="24"/>
          <w:u w:val="single"/>
        </w:rPr>
        <w:t>III A.  Benchmark Data</w:t>
      </w:r>
      <w:r w:rsidRPr="009316C5">
        <w:rPr>
          <w:rFonts w:ascii="Times New Roman" w:hAnsi="Times New Roman"/>
          <w:sz w:val="24"/>
          <w:szCs w:val="24"/>
          <w:u w:val="single"/>
        </w:rPr>
        <w:t xml:space="preserve"> </w:t>
      </w:r>
    </w:p>
    <w:p w:rsidR="0005496B" w:rsidRPr="009C3DFC" w:rsidRDefault="0005496B" w:rsidP="007A67AE">
      <w:pPr>
        <w:ind w:firstLine="720"/>
        <w:rPr>
          <w:rFonts w:ascii="Times New Roman" w:hAnsi="Times New Roman"/>
          <w:b/>
          <w:sz w:val="24"/>
          <w:szCs w:val="24"/>
          <w:u w:val="single"/>
        </w:rPr>
      </w:pPr>
      <w:r w:rsidRPr="009C3DFC">
        <w:rPr>
          <w:rFonts w:ascii="Times New Roman" w:hAnsi="Times New Roman"/>
          <w:b/>
          <w:sz w:val="24"/>
          <w:szCs w:val="24"/>
          <w:u w:val="single"/>
        </w:rPr>
        <w:t>IIIA1:  Reading Benchmark Data</w:t>
      </w:r>
      <w:r w:rsidR="000D6A1B">
        <w:rPr>
          <w:rFonts w:ascii="Times New Roman" w:hAnsi="Times New Roman"/>
          <w:b/>
          <w:sz w:val="24"/>
          <w:szCs w:val="24"/>
          <w:u w:val="single"/>
        </w:rPr>
        <w:t xml:space="preserve"> </w:t>
      </w:r>
    </w:p>
    <w:p w:rsidR="0005496B" w:rsidRPr="00AF6C1D" w:rsidRDefault="0005496B" w:rsidP="00AF6C1D">
      <w:pPr>
        <w:ind w:firstLine="720"/>
        <w:rPr>
          <w:rFonts w:ascii="Times New Roman" w:hAnsi="Times New Roman"/>
          <w:b/>
          <w:i/>
          <w:sz w:val="24"/>
          <w:szCs w:val="24"/>
        </w:rPr>
      </w:pPr>
      <w:r>
        <w:rPr>
          <w:rFonts w:ascii="Times New Roman" w:hAnsi="Times New Roman"/>
          <w:b/>
          <w:sz w:val="24"/>
          <w:szCs w:val="24"/>
        </w:rPr>
        <w:t xml:space="preserve">This chart shows the </w:t>
      </w:r>
      <w:r w:rsidRPr="00CD46D2">
        <w:rPr>
          <w:rFonts w:ascii="Times New Roman" w:hAnsi="Times New Roman"/>
          <w:b/>
          <w:i/>
          <w:sz w:val="24"/>
          <w:szCs w:val="24"/>
        </w:rPr>
        <w:t>Quarter 1</w:t>
      </w:r>
      <w:r w:rsidRPr="009C3DFC">
        <w:rPr>
          <w:rFonts w:ascii="Times New Roman" w:hAnsi="Times New Roman"/>
          <w:b/>
          <w:sz w:val="24"/>
          <w:szCs w:val="24"/>
        </w:rPr>
        <w:t xml:space="preserve"> Reading Benchmark Results By School and Grade Level.</w:t>
      </w:r>
    </w:p>
    <w:p w:rsidR="0005496B" w:rsidRPr="00E07657" w:rsidRDefault="00E07657" w:rsidP="00685846">
      <w:pPr>
        <w:spacing w:after="0" w:line="240" w:lineRule="auto"/>
        <w:ind w:firstLine="720"/>
        <w:rPr>
          <w:rFonts w:ascii="Times New Roman" w:hAnsi="Times New Roman"/>
        </w:rPr>
      </w:pPr>
      <w:r>
        <w:rPr>
          <w:noProof/>
        </w:rPr>
        <w:drawing>
          <wp:inline distT="0" distB="0" distL="0" distR="0">
            <wp:extent cx="5943600" cy="4311015"/>
            <wp:effectExtent l="0" t="0" r="1905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05F" w:rsidRDefault="005F305F" w:rsidP="00CF3BF8">
      <w:pPr>
        <w:rPr>
          <w:rFonts w:ascii="Times New Roman" w:hAnsi="Times New Roman"/>
          <w:b/>
          <w:i/>
          <w:color w:val="FF0000"/>
        </w:rPr>
      </w:pPr>
    </w:p>
    <w:p w:rsidR="005F305F" w:rsidRDefault="005F305F" w:rsidP="00CF3BF8">
      <w:pPr>
        <w:rPr>
          <w:rFonts w:ascii="Times New Roman" w:hAnsi="Times New Roman"/>
          <w:b/>
          <w:i/>
          <w:color w:val="FF0000"/>
        </w:rPr>
      </w:pPr>
    </w:p>
    <w:p w:rsidR="005F305F" w:rsidRDefault="005F305F" w:rsidP="00CF3BF8">
      <w:pPr>
        <w:rPr>
          <w:rFonts w:ascii="Times New Roman" w:hAnsi="Times New Roman"/>
          <w:b/>
          <w:i/>
          <w:color w:val="FF0000"/>
        </w:rPr>
      </w:pPr>
    </w:p>
    <w:p w:rsidR="00CF3BF8" w:rsidRPr="00290740" w:rsidRDefault="00CF3BF8" w:rsidP="00CF3BF8">
      <w:pPr>
        <w:rPr>
          <w:rFonts w:ascii="Times New Roman" w:hAnsi="Times New Roman"/>
          <w:b/>
          <w:sz w:val="24"/>
          <w:szCs w:val="24"/>
        </w:rPr>
      </w:pPr>
      <w:r>
        <w:rPr>
          <w:rFonts w:ascii="Times New Roman" w:hAnsi="Times New Roman"/>
          <w:b/>
          <w:sz w:val="24"/>
          <w:szCs w:val="24"/>
        </w:rPr>
        <w:lastRenderedPageBreak/>
        <w:t>County FAST I</w:t>
      </w:r>
      <w:r w:rsidRPr="00290740">
        <w:rPr>
          <w:rFonts w:ascii="Times New Roman" w:hAnsi="Times New Roman"/>
          <w:b/>
          <w:sz w:val="24"/>
          <w:szCs w:val="24"/>
        </w:rPr>
        <w:t xml:space="preserve"> </w:t>
      </w:r>
      <w:r>
        <w:rPr>
          <w:rFonts w:ascii="Times New Roman" w:hAnsi="Times New Roman"/>
          <w:b/>
          <w:sz w:val="24"/>
          <w:szCs w:val="24"/>
        </w:rPr>
        <w:t xml:space="preserve">Reading </w:t>
      </w:r>
      <w:r w:rsidRPr="00290740">
        <w:rPr>
          <w:rFonts w:ascii="Times New Roman" w:hAnsi="Times New Roman"/>
          <w:b/>
          <w:sz w:val="24"/>
          <w:szCs w:val="24"/>
        </w:rPr>
        <w:t>Average</w:t>
      </w:r>
    </w:p>
    <w:p w:rsidR="00CF3BF8" w:rsidRDefault="00CF3BF8" w:rsidP="00CF3BF8">
      <w:pPr>
        <w:rPr>
          <w:rFonts w:ascii="Times New Roman" w:hAnsi="Times New Roman"/>
          <w:sz w:val="24"/>
          <w:szCs w:val="24"/>
        </w:rPr>
      </w:pPr>
      <w:r>
        <w:rPr>
          <w:rFonts w:ascii="Times New Roman" w:hAnsi="Times New Roman"/>
          <w:sz w:val="24"/>
          <w:szCs w:val="24"/>
        </w:rPr>
        <w:t>6</w:t>
      </w:r>
      <w:r w:rsidRPr="00290740">
        <w:rPr>
          <w:rFonts w:ascii="Times New Roman" w:hAnsi="Times New Roman"/>
          <w:sz w:val="24"/>
          <w:szCs w:val="24"/>
          <w:vertAlign w:val="superscript"/>
        </w:rPr>
        <w:t>th</w:t>
      </w:r>
      <w:r>
        <w:rPr>
          <w:rFonts w:ascii="Times New Roman" w:hAnsi="Times New Roman"/>
          <w:sz w:val="24"/>
          <w:szCs w:val="24"/>
        </w:rPr>
        <w:t xml:space="preserve"> Grade – 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Pr="00290740">
        <w:rPr>
          <w:rFonts w:ascii="Times New Roman" w:hAnsi="Times New Roman"/>
          <w:sz w:val="24"/>
          <w:szCs w:val="24"/>
          <w:vertAlign w:val="superscript"/>
        </w:rPr>
        <w:t>th</w:t>
      </w:r>
      <w:r>
        <w:rPr>
          <w:rFonts w:ascii="Times New Roman" w:hAnsi="Times New Roman"/>
          <w:sz w:val="24"/>
          <w:szCs w:val="24"/>
        </w:rPr>
        <w:t xml:space="preserve"> Grade – 75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sidRPr="00290740">
        <w:rPr>
          <w:rFonts w:ascii="Times New Roman" w:hAnsi="Times New Roman"/>
          <w:sz w:val="24"/>
          <w:szCs w:val="24"/>
          <w:vertAlign w:val="superscript"/>
        </w:rPr>
        <w:t>th</w:t>
      </w:r>
      <w:r>
        <w:rPr>
          <w:rFonts w:ascii="Times New Roman" w:hAnsi="Times New Roman"/>
          <w:sz w:val="24"/>
          <w:szCs w:val="24"/>
        </w:rPr>
        <w:t xml:space="preserve"> Grade – 79</w:t>
      </w:r>
    </w:p>
    <w:p w:rsidR="00CF3BF8" w:rsidRDefault="00CF3BF8" w:rsidP="00CF3BF8">
      <w:pPr>
        <w:rPr>
          <w:rFonts w:ascii="Times New Roman" w:hAnsi="Times New Roman"/>
          <w:sz w:val="24"/>
          <w:szCs w:val="24"/>
        </w:rPr>
      </w:pPr>
      <w:r>
        <w:rPr>
          <w:rFonts w:ascii="Times New Roman" w:hAnsi="Times New Roman"/>
          <w:sz w:val="24"/>
          <w:szCs w:val="24"/>
        </w:rPr>
        <w:t>Both Thomas Johnson and Oxon Hill Middle began the school year with solid RELA teams and student achievement data is reflective of the teams’ efforts.  Students in the 6</w:t>
      </w:r>
      <w:r w:rsidRPr="00CF3BF8">
        <w:rPr>
          <w:rFonts w:ascii="Times New Roman" w:hAnsi="Times New Roman"/>
          <w:sz w:val="24"/>
          <w:szCs w:val="24"/>
          <w:vertAlign w:val="superscript"/>
        </w:rPr>
        <w:t>th</w:t>
      </w:r>
      <w:r>
        <w:rPr>
          <w:rFonts w:ascii="Times New Roman" w:hAnsi="Times New Roman"/>
          <w:sz w:val="24"/>
          <w:szCs w:val="24"/>
        </w:rPr>
        <w:t xml:space="preserve"> and 7</w:t>
      </w:r>
      <w:r w:rsidRPr="00CF3BF8">
        <w:rPr>
          <w:rFonts w:ascii="Times New Roman" w:hAnsi="Times New Roman"/>
          <w:sz w:val="24"/>
          <w:szCs w:val="24"/>
          <w:vertAlign w:val="superscript"/>
        </w:rPr>
        <w:t>th</w:t>
      </w:r>
      <w:r>
        <w:rPr>
          <w:rFonts w:ascii="Times New Roman" w:hAnsi="Times New Roman"/>
          <w:sz w:val="24"/>
          <w:szCs w:val="24"/>
        </w:rPr>
        <w:t xml:space="preserve"> grade were a percentage point under the County average; however, students enrolled in the 8</w:t>
      </w:r>
      <w:r w:rsidRPr="00CF3BF8">
        <w:rPr>
          <w:rFonts w:ascii="Times New Roman" w:hAnsi="Times New Roman"/>
          <w:sz w:val="24"/>
          <w:szCs w:val="24"/>
          <w:vertAlign w:val="superscript"/>
        </w:rPr>
        <w:t>th</w:t>
      </w:r>
      <w:r>
        <w:rPr>
          <w:rFonts w:ascii="Times New Roman" w:hAnsi="Times New Roman"/>
          <w:sz w:val="24"/>
          <w:szCs w:val="24"/>
        </w:rPr>
        <w:t xml:space="preserve"> grade exceeded the County average.</w:t>
      </w:r>
    </w:p>
    <w:p w:rsidR="00CF3BF8" w:rsidRPr="00290740" w:rsidRDefault="00CF3BF8" w:rsidP="00CF3BF8">
      <w:pPr>
        <w:rPr>
          <w:rFonts w:ascii="Times New Roman" w:hAnsi="Times New Roman"/>
          <w:sz w:val="24"/>
          <w:szCs w:val="24"/>
        </w:rPr>
      </w:pPr>
      <w:r>
        <w:rPr>
          <w:rFonts w:ascii="Times New Roman" w:hAnsi="Times New Roman"/>
          <w:sz w:val="24"/>
          <w:szCs w:val="24"/>
        </w:rPr>
        <w:t>Students at Oxon Hill Middle exceeded the County average at both grade levels.</w:t>
      </w:r>
    </w:p>
    <w:p w:rsidR="000D6A1B" w:rsidRDefault="000D6A1B" w:rsidP="00CF3BF8">
      <w:pPr>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CF3BF8" w:rsidRDefault="00CF3BF8" w:rsidP="00022E34">
      <w:pPr>
        <w:ind w:firstLine="720"/>
        <w:rPr>
          <w:rFonts w:ascii="Times New Roman" w:hAnsi="Times New Roman"/>
          <w:b/>
          <w:sz w:val="24"/>
          <w:szCs w:val="24"/>
        </w:rPr>
      </w:pPr>
    </w:p>
    <w:p w:rsidR="0005496B" w:rsidRPr="00AF6C1D" w:rsidRDefault="0005496B" w:rsidP="00022E34">
      <w:pPr>
        <w:ind w:firstLine="720"/>
        <w:rPr>
          <w:rFonts w:ascii="Times New Roman" w:hAnsi="Times New Roman"/>
          <w:b/>
          <w:i/>
          <w:sz w:val="24"/>
          <w:szCs w:val="24"/>
        </w:rPr>
      </w:pPr>
      <w:r>
        <w:rPr>
          <w:rFonts w:ascii="Times New Roman" w:hAnsi="Times New Roman"/>
          <w:b/>
          <w:sz w:val="24"/>
          <w:szCs w:val="24"/>
        </w:rPr>
        <w:lastRenderedPageBreak/>
        <w:t xml:space="preserve">This chart shows the </w:t>
      </w:r>
      <w:r w:rsidRPr="00CD46D2">
        <w:rPr>
          <w:rFonts w:ascii="Times New Roman" w:hAnsi="Times New Roman"/>
          <w:b/>
          <w:i/>
          <w:sz w:val="24"/>
          <w:szCs w:val="24"/>
        </w:rPr>
        <w:t>Q</w:t>
      </w:r>
      <w:r>
        <w:rPr>
          <w:rFonts w:ascii="Times New Roman" w:hAnsi="Times New Roman"/>
          <w:b/>
          <w:i/>
          <w:sz w:val="24"/>
          <w:szCs w:val="24"/>
        </w:rPr>
        <w:t xml:space="preserve">uarter 2 </w:t>
      </w:r>
      <w:r w:rsidRPr="009C3DFC">
        <w:rPr>
          <w:rFonts w:ascii="Times New Roman" w:hAnsi="Times New Roman"/>
          <w:b/>
          <w:sz w:val="24"/>
          <w:szCs w:val="24"/>
        </w:rPr>
        <w:t xml:space="preserve">Reading Benchmark Results </w:t>
      </w:r>
      <w:r w:rsidR="00070095" w:rsidRPr="009C3DFC">
        <w:rPr>
          <w:rFonts w:ascii="Times New Roman" w:hAnsi="Times New Roman"/>
          <w:b/>
          <w:sz w:val="24"/>
          <w:szCs w:val="24"/>
        </w:rPr>
        <w:t>by</w:t>
      </w:r>
      <w:r w:rsidRPr="009C3DFC">
        <w:rPr>
          <w:rFonts w:ascii="Times New Roman" w:hAnsi="Times New Roman"/>
          <w:b/>
          <w:sz w:val="24"/>
          <w:szCs w:val="24"/>
        </w:rPr>
        <w:t xml:space="preserve"> School and Grade Level.</w:t>
      </w:r>
    </w:p>
    <w:p w:rsidR="0005496B" w:rsidRPr="00801B1D" w:rsidRDefault="000D6A1B" w:rsidP="00813DD3">
      <w:pPr>
        <w:rPr>
          <w:rFonts w:ascii="Times New Roman" w:hAnsi="Times New Roman"/>
          <w:b/>
          <w:i/>
        </w:rPr>
      </w:pPr>
      <w:r>
        <w:rPr>
          <w:rFonts w:ascii="Times New Roman" w:hAnsi="Times New Roman"/>
          <w:b/>
          <w:i/>
        </w:rPr>
        <w:tab/>
      </w:r>
      <w:r>
        <w:rPr>
          <w:noProof/>
        </w:rPr>
        <w:drawing>
          <wp:inline distT="0" distB="0" distL="0" distR="0">
            <wp:extent cx="5943600" cy="4311015"/>
            <wp:effectExtent l="0" t="0" r="1905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740" w:rsidRPr="00290740" w:rsidRDefault="00290740" w:rsidP="0033489C">
      <w:pPr>
        <w:rPr>
          <w:rFonts w:ascii="Times New Roman" w:hAnsi="Times New Roman"/>
          <w:b/>
          <w:sz w:val="24"/>
          <w:szCs w:val="24"/>
        </w:rPr>
      </w:pPr>
      <w:r w:rsidRPr="00290740">
        <w:rPr>
          <w:rFonts w:ascii="Times New Roman" w:hAnsi="Times New Roman"/>
          <w:b/>
          <w:sz w:val="24"/>
          <w:szCs w:val="24"/>
        </w:rPr>
        <w:t xml:space="preserve">County FAST II </w:t>
      </w:r>
      <w:r w:rsidR="00CF3BF8">
        <w:rPr>
          <w:rFonts w:ascii="Times New Roman" w:hAnsi="Times New Roman"/>
          <w:b/>
          <w:sz w:val="24"/>
          <w:szCs w:val="24"/>
        </w:rPr>
        <w:t xml:space="preserve">Reading </w:t>
      </w:r>
      <w:r w:rsidRPr="00290740">
        <w:rPr>
          <w:rFonts w:ascii="Times New Roman" w:hAnsi="Times New Roman"/>
          <w:b/>
          <w:sz w:val="24"/>
          <w:szCs w:val="24"/>
        </w:rPr>
        <w:t>Average</w:t>
      </w:r>
    </w:p>
    <w:p w:rsidR="00290740" w:rsidRDefault="00290740" w:rsidP="0033489C">
      <w:pPr>
        <w:rPr>
          <w:rFonts w:ascii="Times New Roman" w:hAnsi="Times New Roman"/>
          <w:sz w:val="24"/>
          <w:szCs w:val="24"/>
        </w:rPr>
      </w:pPr>
      <w:r>
        <w:rPr>
          <w:rFonts w:ascii="Times New Roman" w:hAnsi="Times New Roman"/>
          <w:sz w:val="24"/>
          <w:szCs w:val="24"/>
        </w:rPr>
        <w:t>6</w:t>
      </w:r>
      <w:r w:rsidRPr="00290740">
        <w:rPr>
          <w:rFonts w:ascii="Times New Roman" w:hAnsi="Times New Roman"/>
          <w:sz w:val="24"/>
          <w:szCs w:val="24"/>
          <w:vertAlign w:val="superscript"/>
        </w:rPr>
        <w:t>th</w:t>
      </w:r>
      <w:r>
        <w:rPr>
          <w:rFonts w:ascii="Times New Roman" w:hAnsi="Times New Roman"/>
          <w:sz w:val="24"/>
          <w:szCs w:val="24"/>
        </w:rPr>
        <w:t xml:space="preserve"> Grade – 72.9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Pr="00290740">
        <w:rPr>
          <w:rFonts w:ascii="Times New Roman" w:hAnsi="Times New Roman"/>
          <w:sz w:val="24"/>
          <w:szCs w:val="24"/>
          <w:vertAlign w:val="superscript"/>
        </w:rPr>
        <w:t>th</w:t>
      </w:r>
      <w:r>
        <w:rPr>
          <w:rFonts w:ascii="Times New Roman" w:hAnsi="Times New Roman"/>
          <w:sz w:val="24"/>
          <w:szCs w:val="24"/>
        </w:rPr>
        <w:t xml:space="preserve"> Grade – 73.2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sidRPr="00290740">
        <w:rPr>
          <w:rFonts w:ascii="Times New Roman" w:hAnsi="Times New Roman"/>
          <w:sz w:val="24"/>
          <w:szCs w:val="24"/>
          <w:vertAlign w:val="superscript"/>
        </w:rPr>
        <w:t>th</w:t>
      </w:r>
      <w:r>
        <w:rPr>
          <w:rFonts w:ascii="Times New Roman" w:hAnsi="Times New Roman"/>
          <w:sz w:val="24"/>
          <w:szCs w:val="24"/>
        </w:rPr>
        <w:t xml:space="preserve"> Grade – 77.9</w:t>
      </w:r>
    </w:p>
    <w:p w:rsidR="0005496B" w:rsidRDefault="00070095" w:rsidP="0033489C">
      <w:pPr>
        <w:rPr>
          <w:rFonts w:ascii="Times New Roman" w:hAnsi="Times New Roman"/>
          <w:sz w:val="24"/>
          <w:szCs w:val="24"/>
        </w:rPr>
      </w:pPr>
      <w:r>
        <w:rPr>
          <w:rFonts w:ascii="Times New Roman" w:hAnsi="Times New Roman"/>
          <w:sz w:val="24"/>
          <w:szCs w:val="24"/>
        </w:rPr>
        <w:t>Reading data at Thomas Johnson suggests students are increasingly working towards and/or meeting the standard.  Although there was a decline in student performance from 1</w:t>
      </w:r>
      <w:r w:rsidRPr="00070095">
        <w:rPr>
          <w:rFonts w:ascii="Times New Roman" w:hAnsi="Times New Roman"/>
          <w:sz w:val="24"/>
          <w:szCs w:val="24"/>
          <w:vertAlign w:val="superscript"/>
        </w:rPr>
        <w:t>st</w:t>
      </w:r>
      <w:r>
        <w:rPr>
          <w:rFonts w:ascii="Times New Roman" w:hAnsi="Times New Roman"/>
          <w:sz w:val="24"/>
          <w:szCs w:val="24"/>
        </w:rPr>
        <w:t xml:space="preserve"> quarter in the 6</w:t>
      </w:r>
      <w:r w:rsidRPr="00070095">
        <w:rPr>
          <w:rFonts w:ascii="Times New Roman" w:hAnsi="Times New Roman"/>
          <w:sz w:val="24"/>
          <w:szCs w:val="24"/>
          <w:vertAlign w:val="superscript"/>
        </w:rPr>
        <w:t>th</w:t>
      </w:r>
      <w:r>
        <w:rPr>
          <w:rFonts w:ascii="Times New Roman" w:hAnsi="Times New Roman"/>
          <w:sz w:val="24"/>
          <w:szCs w:val="24"/>
        </w:rPr>
        <w:t xml:space="preserve"> grade, the team has worked closely with the reading coach and instructional specialist to adjust instruction to meet the needs of students.  </w:t>
      </w:r>
      <w:r w:rsidR="00290740">
        <w:rPr>
          <w:rFonts w:ascii="Times New Roman" w:hAnsi="Times New Roman"/>
          <w:sz w:val="24"/>
          <w:szCs w:val="24"/>
        </w:rPr>
        <w:t>7</w:t>
      </w:r>
      <w:r w:rsidR="00290740" w:rsidRPr="00290740">
        <w:rPr>
          <w:rFonts w:ascii="Times New Roman" w:hAnsi="Times New Roman"/>
          <w:sz w:val="24"/>
          <w:szCs w:val="24"/>
          <w:vertAlign w:val="superscript"/>
        </w:rPr>
        <w:t>th</w:t>
      </w:r>
      <w:r w:rsidR="00290740">
        <w:rPr>
          <w:rFonts w:ascii="Times New Roman" w:hAnsi="Times New Roman"/>
          <w:sz w:val="24"/>
          <w:szCs w:val="24"/>
        </w:rPr>
        <w:t xml:space="preserve"> grade students exceeded the County average in achievement.  8</w:t>
      </w:r>
      <w:r w:rsidR="00290740" w:rsidRPr="00290740">
        <w:rPr>
          <w:rFonts w:ascii="Times New Roman" w:hAnsi="Times New Roman"/>
          <w:sz w:val="24"/>
          <w:szCs w:val="24"/>
          <w:vertAlign w:val="superscript"/>
        </w:rPr>
        <w:t>th</w:t>
      </w:r>
      <w:r w:rsidR="00290740">
        <w:rPr>
          <w:rFonts w:ascii="Times New Roman" w:hAnsi="Times New Roman"/>
          <w:sz w:val="24"/>
          <w:szCs w:val="24"/>
        </w:rPr>
        <w:t xml:space="preserve"> grade students were slightly under the County average.</w:t>
      </w:r>
    </w:p>
    <w:p w:rsidR="00954FAA" w:rsidRPr="00290740" w:rsidRDefault="00290740" w:rsidP="00290740">
      <w:pPr>
        <w:rPr>
          <w:rFonts w:ascii="Times New Roman" w:hAnsi="Times New Roman"/>
          <w:sz w:val="24"/>
          <w:szCs w:val="24"/>
        </w:rPr>
      </w:pPr>
      <w:r>
        <w:rPr>
          <w:rFonts w:ascii="Times New Roman" w:hAnsi="Times New Roman"/>
          <w:sz w:val="24"/>
          <w:szCs w:val="24"/>
        </w:rPr>
        <w:t>Students at Oxon Hill Middle exceeded the County average for grade 7 and were slightly under the County average for grade 8.</w:t>
      </w:r>
    </w:p>
    <w:p w:rsidR="00320974" w:rsidRPr="00AF6C1D" w:rsidRDefault="00320974" w:rsidP="00320974">
      <w:pPr>
        <w:jc w:val="center"/>
        <w:rPr>
          <w:rFonts w:ascii="Times New Roman" w:hAnsi="Times New Roman"/>
          <w:b/>
          <w:i/>
          <w:sz w:val="24"/>
          <w:szCs w:val="24"/>
        </w:rPr>
      </w:pPr>
      <w:r>
        <w:rPr>
          <w:rFonts w:ascii="Times New Roman" w:hAnsi="Times New Roman"/>
          <w:b/>
          <w:sz w:val="24"/>
          <w:szCs w:val="24"/>
        </w:rPr>
        <w:lastRenderedPageBreak/>
        <w:t xml:space="preserve">This chart shows the </w:t>
      </w:r>
      <w:r>
        <w:rPr>
          <w:rFonts w:ascii="Times New Roman" w:hAnsi="Times New Roman"/>
          <w:b/>
          <w:i/>
          <w:sz w:val="24"/>
          <w:szCs w:val="24"/>
        </w:rPr>
        <w:t xml:space="preserve">FAST I and FAST II </w:t>
      </w:r>
      <w:r w:rsidRPr="009C3DFC">
        <w:rPr>
          <w:rFonts w:ascii="Times New Roman" w:hAnsi="Times New Roman"/>
          <w:b/>
          <w:sz w:val="24"/>
          <w:szCs w:val="24"/>
        </w:rPr>
        <w:t xml:space="preserve">Reading </w:t>
      </w:r>
      <w:r>
        <w:rPr>
          <w:rFonts w:ascii="Times New Roman" w:hAnsi="Times New Roman"/>
          <w:b/>
          <w:sz w:val="24"/>
          <w:szCs w:val="24"/>
        </w:rPr>
        <w:t>Benchmark Results b</w:t>
      </w:r>
      <w:r w:rsidRPr="009C3DFC">
        <w:rPr>
          <w:rFonts w:ascii="Times New Roman" w:hAnsi="Times New Roman"/>
          <w:b/>
          <w:sz w:val="24"/>
          <w:szCs w:val="24"/>
        </w:rPr>
        <w:t>y School and Grade Level.</w:t>
      </w:r>
    </w:p>
    <w:p w:rsidR="00320974" w:rsidRDefault="00320974" w:rsidP="00320974">
      <w:pPr>
        <w:jc w:val="center"/>
        <w:rPr>
          <w:rFonts w:ascii="Times New Roman" w:hAnsi="Times New Roman"/>
          <w:b/>
          <w:sz w:val="24"/>
          <w:szCs w:val="24"/>
          <w:u w:val="single"/>
        </w:rPr>
      </w:pPr>
      <w:r>
        <w:rPr>
          <w:noProof/>
        </w:rPr>
        <w:drawing>
          <wp:inline distT="0" distB="0" distL="0" distR="0">
            <wp:extent cx="5419725" cy="31337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0974" w:rsidRDefault="00320974" w:rsidP="00320974">
      <w:pPr>
        <w:jc w:val="center"/>
        <w:rPr>
          <w:rFonts w:ascii="Times New Roman" w:hAnsi="Times New Roman"/>
          <w:b/>
          <w:sz w:val="24"/>
          <w:szCs w:val="24"/>
          <w:u w:val="single"/>
        </w:rPr>
      </w:pPr>
      <w:r>
        <w:rPr>
          <w:noProof/>
        </w:rPr>
        <w:drawing>
          <wp:inline distT="0" distB="0" distL="0" distR="0">
            <wp:extent cx="5419725" cy="30289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305F" w:rsidRDefault="005F305F" w:rsidP="005F305F">
      <w:pPr>
        <w:spacing w:after="0"/>
        <w:rPr>
          <w:rFonts w:ascii="Times New Roman" w:hAnsi="Times New Roman"/>
          <w:b/>
          <w:sz w:val="24"/>
          <w:szCs w:val="24"/>
        </w:rPr>
      </w:pPr>
    </w:p>
    <w:p w:rsidR="005F305F" w:rsidRDefault="005F305F" w:rsidP="005F305F">
      <w:pPr>
        <w:rPr>
          <w:rFonts w:ascii="Times New Roman" w:hAnsi="Times New Roman"/>
          <w:sz w:val="24"/>
          <w:szCs w:val="24"/>
        </w:rPr>
      </w:pPr>
      <w:r>
        <w:rPr>
          <w:rFonts w:ascii="Times New Roman" w:hAnsi="Times New Roman"/>
          <w:b/>
          <w:sz w:val="24"/>
          <w:szCs w:val="24"/>
          <w:u w:val="single"/>
        </w:rPr>
        <w:t>Reading Third Quarter Analysis</w:t>
      </w:r>
    </w:p>
    <w:p w:rsidR="005F305F" w:rsidRDefault="005F305F" w:rsidP="005F305F">
      <w:pPr>
        <w:rPr>
          <w:rFonts w:ascii="Times New Roman" w:hAnsi="Times New Roman"/>
          <w:sz w:val="24"/>
          <w:szCs w:val="24"/>
        </w:rPr>
      </w:pPr>
      <w:r>
        <w:rPr>
          <w:rFonts w:ascii="Times New Roman" w:hAnsi="Times New Roman"/>
          <w:sz w:val="24"/>
          <w:szCs w:val="24"/>
        </w:rPr>
        <w:t>FAST is not given during the third quarter; therefore, an analysis of the work performed during this period to include activities, and how those activities supported teacher growth and student achievement.</w:t>
      </w:r>
    </w:p>
    <w:p w:rsidR="005F305F" w:rsidRPr="005F305F" w:rsidRDefault="005F305F" w:rsidP="005F305F">
      <w:pPr>
        <w:spacing w:after="0"/>
        <w:rPr>
          <w:rFonts w:ascii="Times New Roman" w:hAnsi="Times New Roman"/>
          <w:b/>
          <w:sz w:val="24"/>
          <w:szCs w:val="24"/>
        </w:rPr>
      </w:pPr>
      <w:r>
        <w:rPr>
          <w:rFonts w:ascii="Times New Roman" w:hAnsi="Times New Roman"/>
          <w:b/>
          <w:sz w:val="24"/>
          <w:szCs w:val="24"/>
        </w:rPr>
        <w:t>SIG 2 Schools</w:t>
      </w:r>
    </w:p>
    <w:p w:rsidR="005F305F" w:rsidRPr="005F305F" w:rsidRDefault="005F305F" w:rsidP="005F305F">
      <w:pPr>
        <w:spacing w:after="0"/>
        <w:rPr>
          <w:rFonts w:ascii="Times New Roman" w:hAnsi="Times New Roman"/>
          <w:b/>
          <w:sz w:val="24"/>
          <w:szCs w:val="24"/>
        </w:rPr>
      </w:pPr>
      <w:r w:rsidRPr="005F305F">
        <w:rPr>
          <w:rFonts w:ascii="Times New Roman" w:hAnsi="Times New Roman"/>
          <w:b/>
          <w:sz w:val="24"/>
          <w:szCs w:val="24"/>
        </w:rPr>
        <w:t>(Oxon Hill Middle School &amp; Thomas Johnson Middle School)</w:t>
      </w:r>
    </w:p>
    <w:tbl>
      <w:tblPr>
        <w:tblStyle w:val="TableGrid1"/>
        <w:tblW w:w="13158" w:type="dxa"/>
        <w:tblLook w:val="04A0" w:firstRow="1" w:lastRow="0" w:firstColumn="1" w:lastColumn="0" w:noHBand="0" w:noVBand="1"/>
      </w:tblPr>
      <w:tblGrid>
        <w:gridCol w:w="3366"/>
        <w:gridCol w:w="5472"/>
        <w:gridCol w:w="4320"/>
      </w:tblGrid>
      <w:tr w:rsidR="005F305F" w:rsidRPr="005F305F" w:rsidTr="005F305F">
        <w:trPr>
          <w:tblHeader/>
        </w:trPr>
        <w:tc>
          <w:tcPr>
            <w:tcW w:w="3366"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Activities</w:t>
            </w:r>
          </w:p>
        </w:tc>
        <w:tc>
          <w:tcPr>
            <w:tcW w:w="5472"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How Activities Supported Teacher Growth</w:t>
            </w:r>
          </w:p>
        </w:tc>
        <w:tc>
          <w:tcPr>
            <w:tcW w:w="4320"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How Activities Supported Student Achievement</w:t>
            </w:r>
          </w:p>
        </w:tc>
      </w:tr>
      <w:tr w:rsidR="005F305F" w:rsidRPr="005F305F" w:rsidTr="005F305F">
        <w:trPr>
          <w:trHeight w:val="655"/>
        </w:trPr>
        <w:tc>
          <w:tcPr>
            <w:tcW w:w="3366" w:type="dxa"/>
          </w:tcPr>
          <w:p w:rsidR="005F305F" w:rsidRPr="005F305F" w:rsidRDefault="005F305F" w:rsidP="005F305F">
            <w:pPr>
              <w:numPr>
                <w:ilvl w:val="0"/>
                <w:numId w:val="28"/>
              </w:numPr>
              <w:spacing w:after="0" w:line="240" w:lineRule="auto"/>
              <w:ind w:left="180" w:hanging="180"/>
              <w:contextualSpacing/>
              <w:rPr>
                <w:rFonts w:ascii="Times New Roman" w:hAnsi="Times New Roman"/>
                <w:sz w:val="24"/>
                <w:szCs w:val="24"/>
              </w:rPr>
            </w:pPr>
            <w:r w:rsidRPr="005F305F">
              <w:rPr>
                <w:rFonts w:ascii="Times New Roman" w:hAnsi="Times New Roman"/>
                <w:sz w:val="24"/>
                <w:szCs w:val="24"/>
              </w:rPr>
              <w:t>Mosaica (leadership and instructional coaching partner)</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Professional development and support during collaborative planning across content areas has extended teacher thinking around pedagogy and thinking toward common core shifts</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Students are engaged in more cross-curricular learning activities as teachers approach instruction using similar strategies (Webb’s Depth of Knowledge)</w:t>
            </w:r>
          </w:p>
        </w:tc>
      </w:tr>
      <w:tr w:rsidR="005F305F" w:rsidRPr="005F305F" w:rsidTr="005F305F">
        <w:trPr>
          <w:trHeight w:val="655"/>
        </w:trPr>
        <w:tc>
          <w:tcPr>
            <w:tcW w:w="3366" w:type="dxa"/>
          </w:tcPr>
          <w:p w:rsidR="005F305F" w:rsidRPr="005F305F" w:rsidRDefault="005F305F" w:rsidP="005F305F">
            <w:pPr>
              <w:numPr>
                <w:ilvl w:val="0"/>
                <w:numId w:val="28"/>
              </w:numPr>
              <w:spacing w:after="0" w:line="240" w:lineRule="auto"/>
              <w:ind w:left="180" w:hanging="180"/>
              <w:contextualSpacing/>
              <w:rPr>
                <w:rFonts w:ascii="Times New Roman" w:hAnsi="Times New Roman"/>
                <w:sz w:val="24"/>
                <w:szCs w:val="24"/>
              </w:rPr>
            </w:pPr>
            <w:r w:rsidRPr="005F305F">
              <w:rPr>
                <w:rFonts w:ascii="Times New Roman" w:hAnsi="Times New Roman"/>
                <w:sz w:val="24"/>
                <w:szCs w:val="24"/>
              </w:rPr>
              <w:t>Extended Learning Opportunities</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Teachers have the opportunity to work with small groups of students and engage in further practice with the best practices and strategies discussed in collaborative planning (partner and school-based)</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Students were targeted for inclusion in the ELO programs and through exposure to re-teaching and extended practice opportunities they have gained greater task persistence</w:t>
            </w:r>
          </w:p>
        </w:tc>
      </w:tr>
      <w:tr w:rsidR="005F305F" w:rsidRPr="005F305F" w:rsidTr="005F305F">
        <w:trPr>
          <w:trHeight w:val="655"/>
        </w:trPr>
        <w:tc>
          <w:tcPr>
            <w:tcW w:w="3366" w:type="dxa"/>
          </w:tcPr>
          <w:p w:rsidR="005F305F" w:rsidRPr="005F305F" w:rsidRDefault="005F305F" w:rsidP="005F305F">
            <w:pPr>
              <w:numPr>
                <w:ilvl w:val="0"/>
                <w:numId w:val="28"/>
              </w:numPr>
              <w:spacing w:after="0" w:line="240" w:lineRule="auto"/>
              <w:ind w:left="180" w:hanging="180"/>
              <w:contextualSpacing/>
              <w:rPr>
                <w:rFonts w:ascii="Times New Roman" w:hAnsi="Times New Roman"/>
                <w:sz w:val="24"/>
                <w:szCs w:val="24"/>
              </w:rPr>
            </w:pPr>
            <w:r w:rsidRPr="005F305F">
              <w:rPr>
                <w:rFonts w:ascii="Times New Roman" w:hAnsi="Times New Roman"/>
                <w:sz w:val="24"/>
                <w:szCs w:val="24"/>
              </w:rPr>
              <w:t>School-Based Collaborative Planning</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Through the consistent efforts of the instructional lead teacher, the teachers have reflected upon specific practices that are recognized as valuable to their professional development. The school-based collaborative planning has served as an extension of the planning sessions with the partner</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Students are exposed to more focused and aligned instruction that follows the MSDE model for planning and implementation. The result of focused instruction is increased time on task and student work that reflects improves teaching and learning as reflected in student work samples</w:t>
            </w:r>
          </w:p>
        </w:tc>
      </w:tr>
      <w:tr w:rsidR="005F305F" w:rsidRPr="005F305F" w:rsidTr="005F305F">
        <w:trPr>
          <w:trHeight w:val="655"/>
        </w:trPr>
        <w:tc>
          <w:tcPr>
            <w:tcW w:w="3366" w:type="dxa"/>
          </w:tcPr>
          <w:p w:rsidR="005F305F" w:rsidRPr="005F305F" w:rsidRDefault="005F305F" w:rsidP="005F305F">
            <w:pPr>
              <w:numPr>
                <w:ilvl w:val="0"/>
                <w:numId w:val="28"/>
              </w:numPr>
              <w:spacing w:after="0" w:line="240" w:lineRule="auto"/>
              <w:ind w:left="180" w:hanging="180"/>
              <w:contextualSpacing/>
              <w:rPr>
                <w:rFonts w:ascii="Times New Roman" w:hAnsi="Times New Roman"/>
                <w:sz w:val="24"/>
                <w:szCs w:val="24"/>
              </w:rPr>
            </w:pPr>
            <w:r w:rsidRPr="005F305F">
              <w:rPr>
                <w:rFonts w:ascii="Times New Roman" w:hAnsi="Times New Roman"/>
                <w:sz w:val="24"/>
                <w:szCs w:val="24"/>
              </w:rPr>
              <w:t>Lesson Implementation Walk-Through (school-based team)</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The debrief from the instructional walk guides the teachers reflection upon collaborative planning processes and the effectiveness of the practices that are highlighted.</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Students are asked questions during instructional walks that show their thoughts around what they are learning is valued and important to what the teachers are learning in the process of improving teaching and learning</w:t>
            </w:r>
          </w:p>
        </w:tc>
      </w:tr>
      <w:tr w:rsidR="005F305F" w:rsidRPr="005F305F" w:rsidTr="005F305F">
        <w:trPr>
          <w:trHeight w:val="655"/>
        </w:trPr>
        <w:tc>
          <w:tcPr>
            <w:tcW w:w="3366" w:type="dxa"/>
          </w:tcPr>
          <w:p w:rsidR="005F305F" w:rsidRPr="005F305F" w:rsidRDefault="005F305F" w:rsidP="005F305F">
            <w:pPr>
              <w:numPr>
                <w:ilvl w:val="0"/>
                <w:numId w:val="28"/>
              </w:numPr>
              <w:spacing w:after="0" w:line="240" w:lineRule="auto"/>
              <w:ind w:left="180" w:hanging="180"/>
              <w:contextualSpacing/>
              <w:rPr>
                <w:rFonts w:ascii="Times New Roman" w:hAnsi="Times New Roman"/>
                <w:sz w:val="24"/>
                <w:szCs w:val="24"/>
              </w:rPr>
            </w:pPr>
            <w:r w:rsidRPr="005F305F">
              <w:rPr>
                <w:rFonts w:ascii="Times New Roman" w:hAnsi="Times New Roman"/>
                <w:sz w:val="24"/>
                <w:szCs w:val="24"/>
              </w:rPr>
              <w:t>MSA Practice Assessment (Instructional Focus Task for Teacher Model &amp; Student Practice)</w:t>
            </w:r>
          </w:p>
          <w:p w:rsidR="005F305F" w:rsidRPr="005F305F" w:rsidRDefault="005F305F" w:rsidP="005F305F">
            <w:pPr>
              <w:numPr>
                <w:ilvl w:val="0"/>
                <w:numId w:val="28"/>
              </w:numPr>
              <w:spacing w:after="0" w:line="240" w:lineRule="auto"/>
              <w:contextualSpacing/>
              <w:rPr>
                <w:rFonts w:ascii="Times New Roman" w:hAnsi="Times New Roman"/>
                <w:sz w:val="24"/>
                <w:szCs w:val="24"/>
              </w:rPr>
            </w:pPr>
            <w:r w:rsidRPr="005F305F">
              <w:rPr>
                <w:rFonts w:ascii="Times New Roman" w:hAnsi="Times New Roman"/>
                <w:sz w:val="24"/>
                <w:szCs w:val="24"/>
              </w:rPr>
              <w:lastRenderedPageBreak/>
              <w:t>Test Sophistication</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lastRenderedPageBreak/>
              <w:t xml:space="preserve">The MSDE education specialist and Turnaround Office Instructional Specialist for RELA produced a practice assessment with two reading samples for each genre type and select responses and a BCR for each </w:t>
            </w:r>
            <w:r w:rsidRPr="005F305F">
              <w:rPr>
                <w:rFonts w:ascii="Times New Roman" w:hAnsi="Times New Roman"/>
                <w:sz w:val="24"/>
                <w:szCs w:val="24"/>
              </w:rPr>
              <w:lastRenderedPageBreak/>
              <w:t>selection. The assessment was aligned in Edusoft for ease of administration and data collection.</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lastRenderedPageBreak/>
              <w:t xml:space="preserve">Time spent in modeling how to respond to test items and the instruction provided as a model lead to purposeful student engagement with the practice material in </w:t>
            </w:r>
            <w:r w:rsidRPr="005F305F">
              <w:rPr>
                <w:rFonts w:ascii="Times New Roman" w:hAnsi="Times New Roman"/>
                <w:sz w:val="24"/>
                <w:szCs w:val="24"/>
              </w:rPr>
              <w:lastRenderedPageBreak/>
              <w:t>preparation for the MSA. Student qualitative response to how they felt about taking the MSA revealed that they felt prepared and possessed the skill to read the passages and respond to the test items.</w:t>
            </w:r>
          </w:p>
        </w:tc>
      </w:tr>
      <w:tr w:rsidR="005F305F" w:rsidRPr="005F305F" w:rsidTr="005F305F">
        <w:trPr>
          <w:trHeight w:val="655"/>
        </w:trPr>
        <w:tc>
          <w:tcPr>
            <w:tcW w:w="3366" w:type="dxa"/>
          </w:tcPr>
          <w:p w:rsidR="005F305F" w:rsidRPr="005F305F" w:rsidRDefault="005F305F" w:rsidP="005F305F">
            <w:pPr>
              <w:numPr>
                <w:ilvl w:val="0"/>
                <w:numId w:val="28"/>
              </w:numPr>
              <w:spacing w:after="0" w:line="240" w:lineRule="auto"/>
              <w:ind w:left="180" w:hanging="180"/>
              <w:contextualSpacing/>
              <w:rPr>
                <w:rFonts w:ascii="Times New Roman" w:hAnsi="Times New Roman"/>
                <w:sz w:val="24"/>
                <w:szCs w:val="24"/>
              </w:rPr>
            </w:pPr>
            <w:r w:rsidRPr="005F305F">
              <w:rPr>
                <w:rFonts w:ascii="Times New Roman" w:hAnsi="Times New Roman"/>
                <w:sz w:val="24"/>
                <w:szCs w:val="24"/>
              </w:rPr>
              <w:lastRenderedPageBreak/>
              <w:t>Project 50 Professional Learning Community (select cohort)</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The FFT frame focused teacher attention upon the domains utilized in evaluation. Teachers have shown greater reflection in their practice and the cohorts have engaged in discussion that supports deepening of teaching and learning</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One aspect of Project 50 has been teacher use of specific techniques (discussion techniques, questioning, classroom environment) that have been evaluated by the lead teachers/coaches in relation to student data. Data collected shows that student engagement is increasing and the learning environment has begun to shift to more student centered practices</w:t>
            </w:r>
          </w:p>
        </w:tc>
      </w:tr>
    </w:tbl>
    <w:p w:rsidR="005F305F" w:rsidRDefault="005F305F" w:rsidP="005F305F">
      <w:pPr>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Pr="005F305F" w:rsidRDefault="005F305F" w:rsidP="005F305F">
      <w:pPr>
        <w:spacing w:after="0"/>
        <w:rPr>
          <w:rFonts w:ascii="Times New Roman" w:hAnsi="Times New Roman"/>
          <w:sz w:val="24"/>
          <w:szCs w:val="24"/>
        </w:rPr>
      </w:pPr>
      <w:r w:rsidRPr="005F305F">
        <w:rPr>
          <w:rFonts w:ascii="Times New Roman" w:hAnsi="Times New Roman"/>
          <w:b/>
          <w:sz w:val="24"/>
          <w:szCs w:val="24"/>
        </w:rPr>
        <w:lastRenderedPageBreak/>
        <w:t>Oxon Hill Middle School</w:t>
      </w:r>
      <w:r w:rsidRPr="005F305F">
        <w:rPr>
          <w:rFonts w:ascii="Times New Roman" w:hAnsi="Times New Roman"/>
          <w:sz w:val="24"/>
          <w:szCs w:val="24"/>
        </w:rPr>
        <w:t>:</w:t>
      </w:r>
    </w:p>
    <w:tbl>
      <w:tblPr>
        <w:tblStyle w:val="TableGrid2"/>
        <w:tblW w:w="13158" w:type="dxa"/>
        <w:tblLook w:val="04A0" w:firstRow="1" w:lastRow="0" w:firstColumn="1" w:lastColumn="0" w:noHBand="0" w:noVBand="1"/>
      </w:tblPr>
      <w:tblGrid>
        <w:gridCol w:w="3366"/>
        <w:gridCol w:w="5472"/>
        <w:gridCol w:w="4320"/>
      </w:tblGrid>
      <w:tr w:rsidR="005F305F" w:rsidRPr="005F305F" w:rsidTr="005F305F">
        <w:tc>
          <w:tcPr>
            <w:tcW w:w="3366"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Activities</w:t>
            </w:r>
          </w:p>
        </w:tc>
        <w:tc>
          <w:tcPr>
            <w:tcW w:w="5472"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How Activities Supported Teacher Growth</w:t>
            </w:r>
          </w:p>
        </w:tc>
        <w:tc>
          <w:tcPr>
            <w:tcW w:w="4320"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How Activities Supported Student Achievement</w:t>
            </w:r>
          </w:p>
        </w:tc>
      </w:tr>
      <w:tr w:rsidR="005F305F" w:rsidRPr="005F305F" w:rsidTr="005F305F">
        <w:trPr>
          <w:trHeight w:val="245"/>
        </w:trPr>
        <w:tc>
          <w:tcPr>
            <w:tcW w:w="3366" w:type="dxa"/>
          </w:tcPr>
          <w:p w:rsidR="005F305F" w:rsidRPr="005F305F" w:rsidRDefault="005F305F" w:rsidP="005F305F">
            <w:pPr>
              <w:numPr>
                <w:ilvl w:val="0"/>
                <w:numId w:val="29"/>
              </w:numPr>
              <w:spacing w:after="0" w:line="240" w:lineRule="auto"/>
              <w:ind w:left="270" w:hanging="270"/>
              <w:contextualSpacing/>
              <w:rPr>
                <w:rFonts w:ascii="Times New Roman" w:hAnsi="Times New Roman"/>
                <w:sz w:val="24"/>
                <w:szCs w:val="24"/>
              </w:rPr>
            </w:pPr>
            <w:r w:rsidRPr="005F305F">
              <w:rPr>
                <w:rFonts w:ascii="Times New Roman" w:hAnsi="Times New Roman"/>
                <w:sz w:val="24"/>
                <w:szCs w:val="24"/>
              </w:rPr>
              <w:t>Enrichment &amp; Remediation Modified Schedule for Response to Intervention (Planning and Logistics)</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The leadership devised a plan for incorporating RTI that forced teachers to engage with a variety of students to meet student needs in several subject areas. Teachers are forced to consider alternative strategies and expand their repertoire</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Through strengthening teacher skill, students are provided with instruction that  shifts teacher centered methods to student centered outcomes</w:t>
            </w:r>
          </w:p>
        </w:tc>
      </w:tr>
      <w:tr w:rsidR="005F305F" w:rsidRPr="005F305F" w:rsidTr="005F305F">
        <w:trPr>
          <w:trHeight w:val="244"/>
        </w:trPr>
        <w:tc>
          <w:tcPr>
            <w:tcW w:w="3366" w:type="dxa"/>
          </w:tcPr>
          <w:p w:rsidR="005F305F" w:rsidRPr="005F305F" w:rsidRDefault="005F305F" w:rsidP="005F305F">
            <w:pPr>
              <w:numPr>
                <w:ilvl w:val="0"/>
                <w:numId w:val="29"/>
              </w:numPr>
              <w:spacing w:after="0" w:line="240" w:lineRule="auto"/>
              <w:ind w:left="270" w:hanging="270"/>
              <w:contextualSpacing/>
              <w:rPr>
                <w:rFonts w:ascii="Times New Roman" w:hAnsi="Times New Roman"/>
                <w:sz w:val="24"/>
                <w:szCs w:val="24"/>
              </w:rPr>
            </w:pPr>
            <w:r w:rsidRPr="005F305F">
              <w:rPr>
                <w:rFonts w:ascii="Times New Roman" w:hAnsi="Times New Roman"/>
                <w:sz w:val="24"/>
                <w:szCs w:val="24"/>
              </w:rPr>
              <w:t>Development and Execution of Common Assessments</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RELA teachers creation of standards based test items improves their ability to back map instruction</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Students experienced greater success as teachers were able to focus instruction with a clear understanding of the outcome</w:t>
            </w:r>
          </w:p>
        </w:tc>
      </w:tr>
      <w:tr w:rsidR="005F305F" w:rsidRPr="005F305F" w:rsidTr="005F305F">
        <w:tc>
          <w:tcPr>
            <w:tcW w:w="13158" w:type="dxa"/>
            <w:gridSpan w:val="3"/>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Next Steps:</w:t>
            </w:r>
          </w:p>
          <w:p w:rsidR="005F305F" w:rsidRPr="005F305F" w:rsidRDefault="005F305F" w:rsidP="005F305F">
            <w:pPr>
              <w:numPr>
                <w:ilvl w:val="0"/>
                <w:numId w:val="29"/>
              </w:numPr>
              <w:spacing w:after="0" w:line="240" w:lineRule="auto"/>
              <w:contextualSpacing/>
              <w:rPr>
                <w:rFonts w:ascii="Times New Roman" w:hAnsi="Times New Roman"/>
                <w:sz w:val="24"/>
                <w:szCs w:val="24"/>
              </w:rPr>
            </w:pPr>
            <w:r w:rsidRPr="005F305F">
              <w:rPr>
                <w:rFonts w:ascii="Times New Roman" w:hAnsi="Times New Roman"/>
                <w:sz w:val="24"/>
                <w:szCs w:val="24"/>
              </w:rPr>
              <w:t>Continue the efforts the RTI. This is not being tried systematically in any other building. The efforts will translate to meeting the demands of common core.</w:t>
            </w:r>
          </w:p>
          <w:p w:rsidR="005F305F" w:rsidRPr="005F305F" w:rsidRDefault="005F305F" w:rsidP="005F305F">
            <w:pPr>
              <w:numPr>
                <w:ilvl w:val="0"/>
                <w:numId w:val="29"/>
              </w:numPr>
              <w:spacing w:after="0" w:line="240" w:lineRule="auto"/>
              <w:contextualSpacing/>
              <w:rPr>
                <w:rFonts w:ascii="Times New Roman" w:hAnsi="Times New Roman"/>
                <w:sz w:val="24"/>
                <w:szCs w:val="24"/>
              </w:rPr>
            </w:pPr>
            <w:r w:rsidRPr="005F305F">
              <w:rPr>
                <w:rFonts w:ascii="Times New Roman" w:hAnsi="Times New Roman"/>
                <w:sz w:val="24"/>
                <w:szCs w:val="24"/>
              </w:rPr>
              <w:t>Maintain and extend use of common assessments to drive the instruction and focus for pacing and what objectives should be taught for a longer period of time or shortened period of time</w:t>
            </w:r>
          </w:p>
        </w:tc>
      </w:tr>
    </w:tbl>
    <w:p w:rsidR="005F305F" w:rsidRPr="005F305F" w:rsidRDefault="005F305F" w:rsidP="005F305F">
      <w:pPr>
        <w:spacing w:after="0"/>
        <w:rPr>
          <w:rFonts w:ascii="Times New Roman" w:hAnsi="Times New Roman"/>
          <w:sz w:val="24"/>
          <w:szCs w:val="24"/>
        </w:rPr>
      </w:pPr>
    </w:p>
    <w:p w:rsidR="005F305F" w:rsidRPr="005F305F" w:rsidRDefault="005F305F" w:rsidP="005F305F">
      <w:pPr>
        <w:rPr>
          <w:rFonts w:ascii="Times New Roman" w:hAnsi="Times New Roman"/>
          <w:b/>
          <w:sz w:val="24"/>
          <w:szCs w:val="24"/>
        </w:rPr>
      </w:pPr>
      <w:r w:rsidRPr="005F305F">
        <w:rPr>
          <w:rFonts w:ascii="Times New Roman" w:hAnsi="Times New Roman"/>
          <w:b/>
          <w:sz w:val="24"/>
          <w:szCs w:val="24"/>
        </w:rPr>
        <w:br w:type="page"/>
      </w:r>
    </w:p>
    <w:p w:rsidR="005F305F" w:rsidRPr="005F305F" w:rsidRDefault="005F305F" w:rsidP="005F305F">
      <w:pPr>
        <w:spacing w:after="0"/>
        <w:rPr>
          <w:rFonts w:ascii="Times New Roman" w:hAnsi="Times New Roman"/>
          <w:sz w:val="24"/>
          <w:szCs w:val="24"/>
        </w:rPr>
      </w:pPr>
      <w:r w:rsidRPr="005F305F">
        <w:rPr>
          <w:rFonts w:ascii="Times New Roman" w:hAnsi="Times New Roman"/>
          <w:b/>
          <w:sz w:val="24"/>
          <w:szCs w:val="24"/>
        </w:rPr>
        <w:lastRenderedPageBreak/>
        <w:t>Thomas Johnson Middle School:</w:t>
      </w:r>
    </w:p>
    <w:tbl>
      <w:tblPr>
        <w:tblStyle w:val="TableGrid2"/>
        <w:tblW w:w="13158" w:type="dxa"/>
        <w:tblLook w:val="04A0" w:firstRow="1" w:lastRow="0" w:firstColumn="1" w:lastColumn="0" w:noHBand="0" w:noVBand="1"/>
      </w:tblPr>
      <w:tblGrid>
        <w:gridCol w:w="3366"/>
        <w:gridCol w:w="5472"/>
        <w:gridCol w:w="4320"/>
      </w:tblGrid>
      <w:tr w:rsidR="005F305F" w:rsidRPr="005F305F" w:rsidTr="005F305F">
        <w:tc>
          <w:tcPr>
            <w:tcW w:w="3366"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Activities</w:t>
            </w:r>
          </w:p>
        </w:tc>
        <w:tc>
          <w:tcPr>
            <w:tcW w:w="5472"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How Activities Supported Teacher Growth</w:t>
            </w:r>
          </w:p>
        </w:tc>
        <w:tc>
          <w:tcPr>
            <w:tcW w:w="4320" w:type="dxa"/>
          </w:tcPr>
          <w:p w:rsidR="005F305F" w:rsidRPr="005F305F" w:rsidRDefault="005F305F" w:rsidP="005F305F">
            <w:pPr>
              <w:spacing w:after="0" w:line="240" w:lineRule="auto"/>
              <w:jc w:val="center"/>
              <w:rPr>
                <w:rFonts w:ascii="Times New Roman" w:hAnsi="Times New Roman"/>
                <w:b/>
                <w:sz w:val="24"/>
                <w:szCs w:val="24"/>
              </w:rPr>
            </w:pPr>
            <w:r w:rsidRPr="005F305F">
              <w:rPr>
                <w:rFonts w:ascii="Times New Roman" w:hAnsi="Times New Roman"/>
                <w:b/>
                <w:sz w:val="24"/>
                <w:szCs w:val="24"/>
              </w:rPr>
              <w:t>How Activities Supported Student Achievement</w:t>
            </w:r>
          </w:p>
        </w:tc>
      </w:tr>
      <w:tr w:rsidR="005F305F" w:rsidRPr="005F305F" w:rsidTr="005F305F">
        <w:trPr>
          <w:trHeight w:val="245"/>
        </w:trPr>
        <w:tc>
          <w:tcPr>
            <w:tcW w:w="3366" w:type="dxa"/>
          </w:tcPr>
          <w:p w:rsidR="005F305F" w:rsidRPr="005F305F" w:rsidRDefault="005F305F" w:rsidP="005F305F">
            <w:pPr>
              <w:numPr>
                <w:ilvl w:val="0"/>
                <w:numId w:val="29"/>
              </w:numPr>
              <w:spacing w:after="0" w:line="240" w:lineRule="auto"/>
              <w:ind w:left="270" w:hanging="270"/>
              <w:contextualSpacing/>
              <w:rPr>
                <w:rFonts w:ascii="Times New Roman" w:hAnsi="Times New Roman"/>
                <w:sz w:val="24"/>
                <w:szCs w:val="24"/>
              </w:rPr>
            </w:pPr>
            <w:r w:rsidRPr="005F305F">
              <w:rPr>
                <w:rFonts w:ascii="Times New Roman" w:hAnsi="Times New Roman"/>
                <w:sz w:val="24"/>
                <w:szCs w:val="24"/>
              </w:rPr>
              <w:t>Curriculum Extension Projects</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RELA teams collaborated and researched ways to extend student learning, thus stretching their thinking around objectives that would be tested on MSA. Each teacher crafted their version of a similar enrichment project across multiple indicators</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 engagement in planning and executing the project completion was very high and the end product demonstrated student proficiency that was exemplary in most cases (performance based learning; artifacts displayed that met and exceeded the standard)</w:t>
            </w:r>
          </w:p>
        </w:tc>
      </w:tr>
      <w:tr w:rsidR="005F305F" w:rsidRPr="005F305F" w:rsidTr="005F305F">
        <w:trPr>
          <w:trHeight w:val="244"/>
        </w:trPr>
        <w:tc>
          <w:tcPr>
            <w:tcW w:w="3366" w:type="dxa"/>
          </w:tcPr>
          <w:p w:rsidR="005F305F" w:rsidRPr="005F305F" w:rsidRDefault="005F305F" w:rsidP="005F305F">
            <w:pPr>
              <w:numPr>
                <w:ilvl w:val="0"/>
                <w:numId w:val="29"/>
              </w:numPr>
              <w:spacing w:after="0" w:line="240" w:lineRule="auto"/>
              <w:ind w:left="270" w:hanging="270"/>
              <w:contextualSpacing/>
              <w:rPr>
                <w:rFonts w:ascii="Times New Roman" w:hAnsi="Times New Roman"/>
                <w:sz w:val="24"/>
                <w:szCs w:val="24"/>
              </w:rPr>
            </w:pPr>
            <w:r w:rsidRPr="005F305F">
              <w:rPr>
                <w:rFonts w:ascii="Times New Roman" w:hAnsi="Times New Roman"/>
                <w:sz w:val="24"/>
                <w:szCs w:val="24"/>
              </w:rPr>
              <w:t>Student Advisories (after first mod)</w:t>
            </w:r>
          </w:p>
        </w:tc>
        <w:tc>
          <w:tcPr>
            <w:tcW w:w="5472"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Entire staff engages in morning meetings about academic and social issues that impact student learning and personal growth. Adult -student rapport is built and staff are better able to relate to students which translates to growth in teacher knowledge of the adolescent learner</w:t>
            </w:r>
          </w:p>
        </w:tc>
        <w:tc>
          <w:tcPr>
            <w:tcW w:w="4320" w:type="dxa"/>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Student engagement has increased given the time spent sustaining climate and culture. As students work in small groups their potential is  increased for growth in learning</w:t>
            </w:r>
          </w:p>
        </w:tc>
      </w:tr>
      <w:tr w:rsidR="005F305F" w:rsidRPr="005F305F" w:rsidTr="005F305F">
        <w:tc>
          <w:tcPr>
            <w:tcW w:w="13158" w:type="dxa"/>
            <w:gridSpan w:val="3"/>
          </w:tcPr>
          <w:p w:rsidR="005F305F" w:rsidRPr="005F305F" w:rsidRDefault="005F305F" w:rsidP="005F305F">
            <w:pPr>
              <w:spacing w:after="0" w:line="240" w:lineRule="auto"/>
              <w:rPr>
                <w:rFonts w:ascii="Times New Roman" w:hAnsi="Times New Roman"/>
                <w:sz w:val="24"/>
                <w:szCs w:val="24"/>
              </w:rPr>
            </w:pPr>
            <w:r w:rsidRPr="005F305F">
              <w:rPr>
                <w:rFonts w:ascii="Times New Roman" w:hAnsi="Times New Roman"/>
                <w:sz w:val="24"/>
                <w:szCs w:val="24"/>
              </w:rPr>
              <w:t>Next Steps:</w:t>
            </w:r>
          </w:p>
          <w:p w:rsidR="005F305F" w:rsidRPr="005F305F" w:rsidRDefault="005F305F" w:rsidP="005F305F">
            <w:pPr>
              <w:numPr>
                <w:ilvl w:val="0"/>
                <w:numId w:val="29"/>
              </w:numPr>
              <w:spacing w:after="0" w:line="240" w:lineRule="auto"/>
              <w:contextualSpacing/>
              <w:rPr>
                <w:rFonts w:ascii="Times New Roman" w:hAnsi="Times New Roman"/>
                <w:sz w:val="24"/>
                <w:szCs w:val="24"/>
              </w:rPr>
            </w:pPr>
            <w:r w:rsidRPr="005F305F">
              <w:rPr>
                <w:rFonts w:ascii="Times New Roman" w:hAnsi="Times New Roman"/>
                <w:sz w:val="24"/>
                <w:szCs w:val="24"/>
              </w:rPr>
              <w:t>Develop and refine aligned work between the coach and the RELA staff so planning and instruction is focused and communication supports the efforts of the classroom teacher</w:t>
            </w:r>
          </w:p>
          <w:p w:rsidR="005F305F" w:rsidRPr="005F305F" w:rsidRDefault="005F305F" w:rsidP="005F305F">
            <w:pPr>
              <w:numPr>
                <w:ilvl w:val="0"/>
                <w:numId w:val="29"/>
              </w:numPr>
              <w:spacing w:after="0" w:line="240" w:lineRule="auto"/>
              <w:contextualSpacing/>
              <w:rPr>
                <w:rFonts w:ascii="Times New Roman" w:hAnsi="Times New Roman"/>
                <w:sz w:val="24"/>
                <w:szCs w:val="24"/>
              </w:rPr>
            </w:pPr>
            <w:r w:rsidRPr="005F305F">
              <w:rPr>
                <w:rFonts w:ascii="Times New Roman" w:hAnsi="Times New Roman"/>
                <w:sz w:val="24"/>
                <w:szCs w:val="24"/>
              </w:rPr>
              <w:t>Work toward greater infusion of information shared during Mosaica trainings (Webb’s Depth of Knowledge; questioning; preparation for the common core)</w:t>
            </w:r>
          </w:p>
        </w:tc>
      </w:tr>
    </w:tbl>
    <w:p w:rsidR="005F305F" w:rsidRDefault="005F305F" w:rsidP="005F305F">
      <w:pPr>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320974">
      <w:pPr>
        <w:ind w:firstLine="720"/>
        <w:rPr>
          <w:rFonts w:ascii="Times New Roman" w:hAnsi="Times New Roman"/>
          <w:b/>
          <w:sz w:val="24"/>
          <w:szCs w:val="24"/>
          <w:u w:val="single"/>
        </w:rPr>
      </w:pPr>
    </w:p>
    <w:p w:rsidR="005F305F" w:rsidRDefault="005F305F" w:rsidP="005F305F">
      <w:pPr>
        <w:rPr>
          <w:rFonts w:ascii="Times New Roman" w:hAnsi="Times New Roman"/>
          <w:b/>
          <w:sz w:val="24"/>
          <w:szCs w:val="24"/>
          <w:u w:val="single"/>
        </w:rPr>
      </w:pPr>
    </w:p>
    <w:p w:rsidR="0005496B" w:rsidRPr="009C3DFC" w:rsidRDefault="0005496B" w:rsidP="005F305F">
      <w:pPr>
        <w:rPr>
          <w:rFonts w:ascii="Times New Roman" w:hAnsi="Times New Roman"/>
          <w:b/>
          <w:sz w:val="24"/>
          <w:szCs w:val="24"/>
          <w:u w:val="single"/>
        </w:rPr>
      </w:pPr>
      <w:r w:rsidRPr="009C3DFC">
        <w:rPr>
          <w:rFonts w:ascii="Times New Roman" w:hAnsi="Times New Roman"/>
          <w:b/>
          <w:sz w:val="24"/>
          <w:szCs w:val="24"/>
          <w:u w:val="single"/>
        </w:rPr>
        <w:lastRenderedPageBreak/>
        <w:t>IIIA2. Math Benchmark Data</w:t>
      </w:r>
    </w:p>
    <w:p w:rsidR="0005496B" w:rsidRPr="004C06A5" w:rsidRDefault="0005496B" w:rsidP="00545312">
      <w:pPr>
        <w:ind w:firstLine="720"/>
        <w:rPr>
          <w:rFonts w:ascii="Times New Roman" w:hAnsi="Times New Roman"/>
          <w:b/>
          <w:sz w:val="24"/>
          <w:szCs w:val="24"/>
        </w:rPr>
      </w:pPr>
      <w:r>
        <w:rPr>
          <w:rFonts w:ascii="Times New Roman" w:hAnsi="Times New Roman"/>
          <w:b/>
          <w:sz w:val="24"/>
          <w:szCs w:val="24"/>
        </w:rPr>
        <w:t xml:space="preserve">This chart shows the </w:t>
      </w:r>
      <w:r w:rsidRPr="00CD46D2">
        <w:rPr>
          <w:rFonts w:ascii="Times New Roman" w:hAnsi="Times New Roman"/>
          <w:b/>
          <w:i/>
          <w:sz w:val="24"/>
          <w:szCs w:val="24"/>
        </w:rPr>
        <w:t>Quarter 1</w:t>
      </w:r>
      <w:r w:rsidRPr="009C3DFC">
        <w:rPr>
          <w:rFonts w:ascii="Times New Roman" w:hAnsi="Times New Roman"/>
          <w:b/>
          <w:sz w:val="24"/>
          <w:szCs w:val="24"/>
        </w:rPr>
        <w:t xml:space="preserve"> Math Benchmark Results </w:t>
      </w:r>
      <w:r w:rsidR="00070095" w:rsidRPr="009C3DFC">
        <w:rPr>
          <w:rFonts w:ascii="Times New Roman" w:hAnsi="Times New Roman"/>
          <w:b/>
          <w:sz w:val="24"/>
          <w:szCs w:val="24"/>
        </w:rPr>
        <w:t>by</w:t>
      </w:r>
      <w:r w:rsidRPr="009C3DFC">
        <w:rPr>
          <w:rFonts w:ascii="Times New Roman" w:hAnsi="Times New Roman"/>
          <w:b/>
          <w:sz w:val="24"/>
          <w:szCs w:val="24"/>
        </w:rPr>
        <w:t xml:space="preserve"> School and Grade Level. </w:t>
      </w:r>
      <w:r w:rsidRPr="009C3DFC">
        <w:rPr>
          <w:rFonts w:ascii="Times New Roman" w:hAnsi="Times New Roman"/>
          <w:b/>
          <w:i/>
          <w:sz w:val="24"/>
          <w:szCs w:val="24"/>
        </w:rPr>
        <w:t xml:space="preserve"> </w:t>
      </w:r>
    </w:p>
    <w:p w:rsidR="0005496B" w:rsidRPr="000D6A1B" w:rsidRDefault="00D76FFC" w:rsidP="000D6A1B">
      <w:pPr>
        <w:spacing w:after="0" w:line="240" w:lineRule="auto"/>
        <w:ind w:firstLine="720"/>
        <w:rPr>
          <w:rFonts w:ascii="Times New Roman" w:hAnsi="Times New Roman"/>
        </w:rPr>
      </w:pPr>
      <w:r>
        <w:rPr>
          <w:noProof/>
        </w:rPr>
        <w:drawing>
          <wp:inline distT="0" distB="0" distL="0" distR="0">
            <wp:extent cx="7010400" cy="4314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70DF" w:rsidRDefault="006870DF" w:rsidP="006870DF">
      <w:pPr>
        <w:rPr>
          <w:rFonts w:ascii="Times New Roman" w:hAnsi="Times New Roman"/>
          <w:b/>
          <w:i/>
          <w:color w:val="FF0000"/>
        </w:rPr>
      </w:pPr>
    </w:p>
    <w:p w:rsidR="006870DF" w:rsidRDefault="006870DF" w:rsidP="006870DF">
      <w:pPr>
        <w:rPr>
          <w:rFonts w:ascii="Times New Roman" w:hAnsi="Times New Roman"/>
          <w:b/>
          <w:sz w:val="24"/>
          <w:szCs w:val="24"/>
        </w:rPr>
      </w:pPr>
    </w:p>
    <w:p w:rsidR="006870DF" w:rsidRDefault="006870DF" w:rsidP="006870DF">
      <w:pPr>
        <w:rPr>
          <w:rFonts w:ascii="Times New Roman" w:hAnsi="Times New Roman"/>
          <w:b/>
          <w:sz w:val="24"/>
          <w:szCs w:val="24"/>
        </w:rPr>
      </w:pPr>
    </w:p>
    <w:p w:rsidR="006870DF" w:rsidRDefault="006870DF" w:rsidP="006870DF">
      <w:pPr>
        <w:rPr>
          <w:rFonts w:ascii="Times New Roman" w:hAnsi="Times New Roman"/>
          <w:b/>
          <w:sz w:val="24"/>
          <w:szCs w:val="24"/>
        </w:rPr>
      </w:pPr>
    </w:p>
    <w:p w:rsidR="006870DF" w:rsidRDefault="006870DF" w:rsidP="006870DF">
      <w:pPr>
        <w:rPr>
          <w:rFonts w:ascii="Times New Roman" w:hAnsi="Times New Roman"/>
          <w:b/>
          <w:sz w:val="24"/>
          <w:szCs w:val="24"/>
        </w:rPr>
      </w:pPr>
    </w:p>
    <w:p w:rsidR="006870DF" w:rsidRPr="00290740" w:rsidRDefault="006870DF" w:rsidP="006870DF">
      <w:pPr>
        <w:rPr>
          <w:rFonts w:ascii="Times New Roman" w:hAnsi="Times New Roman"/>
          <w:b/>
          <w:sz w:val="24"/>
          <w:szCs w:val="24"/>
        </w:rPr>
      </w:pPr>
      <w:r>
        <w:rPr>
          <w:rFonts w:ascii="Times New Roman" w:hAnsi="Times New Roman"/>
          <w:b/>
          <w:sz w:val="24"/>
          <w:szCs w:val="24"/>
        </w:rPr>
        <w:lastRenderedPageBreak/>
        <w:t>County FAST I</w:t>
      </w:r>
      <w:r w:rsidRPr="00290740">
        <w:rPr>
          <w:rFonts w:ascii="Times New Roman" w:hAnsi="Times New Roman"/>
          <w:b/>
          <w:sz w:val="24"/>
          <w:szCs w:val="24"/>
        </w:rPr>
        <w:t xml:space="preserve"> </w:t>
      </w:r>
      <w:r>
        <w:rPr>
          <w:rFonts w:ascii="Times New Roman" w:hAnsi="Times New Roman"/>
          <w:b/>
          <w:sz w:val="24"/>
          <w:szCs w:val="24"/>
        </w:rPr>
        <w:t xml:space="preserve">Mathematics </w:t>
      </w:r>
      <w:r w:rsidRPr="00290740">
        <w:rPr>
          <w:rFonts w:ascii="Times New Roman" w:hAnsi="Times New Roman"/>
          <w:b/>
          <w:sz w:val="24"/>
          <w:szCs w:val="24"/>
        </w:rPr>
        <w:t>Average</w:t>
      </w:r>
    </w:p>
    <w:p w:rsidR="006870DF" w:rsidRDefault="006870DF" w:rsidP="006870DF">
      <w:pPr>
        <w:rPr>
          <w:rFonts w:ascii="Times New Roman" w:hAnsi="Times New Roman"/>
          <w:sz w:val="24"/>
          <w:szCs w:val="24"/>
        </w:rPr>
      </w:pPr>
      <w:r>
        <w:rPr>
          <w:rFonts w:ascii="Times New Roman" w:hAnsi="Times New Roman"/>
          <w:sz w:val="24"/>
          <w:szCs w:val="24"/>
        </w:rPr>
        <w:t>6</w:t>
      </w:r>
      <w:r w:rsidRPr="00290740">
        <w:rPr>
          <w:rFonts w:ascii="Times New Roman" w:hAnsi="Times New Roman"/>
          <w:sz w:val="24"/>
          <w:szCs w:val="24"/>
          <w:vertAlign w:val="superscript"/>
        </w:rPr>
        <w:t>th</w:t>
      </w:r>
      <w:r>
        <w:rPr>
          <w:rFonts w:ascii="Times New Roman" w:hAnsi="Times New Roman"/>
          <w:sz w:val="24"/>
          <w:szCs w:val="24"/>
        </w:rPr>
        <w:t xml:space="preserve"> Grade – 59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Pr="00290740">
        <w:rPr>
          <w:rFonts w:ascii="Times New Roman" w:hAnsi="Times New Roman"/>
          <w:sz w:val="24"/>
          <w:szCs w:val="24"/>
          <w:vertAlign w:val="superscript"/>
        </w:rPr>
        <w:t>th</w:t>
      </w:r>
      <w:r>
        <w:rPr>
          <w:rFonts w:ascii="Times New Roman" w:hAnsi="Times New Roman"/>
          <w:sz w:val="24"/>
          <w:szCs w:val="24"/>
        </w:rPr>
        <w:t xml:space="preserve"> Grade – 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sidRPr="00290740">
        <w:rPr>
          <w:rFonts w:ascii="Times New Roman" w:hAnsi="Times New Roman"/>
          <w:sz w:val="24"/>
          <w:szCs w:val="24"/>
          <w:vertAlign w:val="superscript"/>
        </w:rPr>
        <w:t>th</w:t>
      </w:r>
      <w:r>
        <w:rPr>
          <w:rFonts w:ascii="Times New Roman" w:hAnsi="Times New Roman"/>
          <w:sz w:val="24"/>
          <w:szCs w:val="24"/>
        </w:rPr>
        <w:t xml:space="preserve"> Grade – 52</w:t>
      </w:r>
    </w:p>
    <w:p w:rsidR="006870DF" w:rsidRDefault="006870DF" w:rsidP="006870DF">
      <w:pPr>
        <w:ind w:right="-450"/>
      </w:pPr>
      <w:r>
        <w:t>The County average for achievement in 6</w:t>
      </w:r>
      <w:r w:rsidRPr="00954FAA">
        <w:rPr>
          <w:vertAlign w:val="superscript"/>
        </w:rPr>
        <w:t>th</w:t>
      </w:r>
      <w:r>
        <w:t xml:space="preserve"> Grade was 59 percent.  According to the chart, Thomas Johnson was 13 percent below the County average.  7</w:t>
      </w:r>
      <w:r w:rsidRPr="00070095">
        <w:rPr>
          <w:vertAlign w:val="superscript"/>
        </w:rPr>
        <w:t>th</w:t>
      </w:r>
      <w:r>
        <w:t xml:space="preserve"> grade students achieved at a rate of 53 percent which is 11 percent above the County average.  On the other hand, 8</w:t>
      </w:r>
      <w:r w:rsidRPr="00070095">
        <w:rPr>
          <w:vertAlign w:val="superscript"/>
        </w:rPr>
        <w:t>th</w:t>
      </w:r>
      <w:r>
        <w:t xml:space="preserve"> grade students achieved at a rate of 43 percent which is 9 percent below the County Average.</w:t>
      </w:r>
    </w:p>
    <w:p w:rsidR="006870DF" w:rsidRDefault="006870DF" w:rsidP="006870DF">
      <w:pPr>
        <w:ind w:right="-450"/>
      </w:pPr>
      <w:r>
        <w:t>Oxon Hill Middle School was significantly lower than the County average for 7</w:t>
      </w:r>
      <w:r w:rsidRPr="006870DF">
        <w:rPr>
          <w:vertAlign w:val="superscript"/>
        </w:rPr>
        <w:t>th</w:t>
      </w:r>
      <w:r>
        <w:t xml:space="preserve"> grade.  Student achievement for 7</w:t>
      </w:r>
      <w:r w:rsidRPr="00070095">
        <w:rPr>
          <w:vertAlign w:val="superscript"/>
        </w:rPr>
        <w:t>th</w:t>
      </w:r>
      <w:r>
        <w:t xml:space="preserve"> grade was 29 percent.  Students in the 8</w:t>
      </w:r>
      <w:r w:rsidRPr="00070095">
        <w:rPr>
          <w:vertAlign w:val="superscript"/>
        </w:rPr>
        <w:t>th</w:t>
      </w:r>
      <w:r>
        <w:t xml:space="preserve"> grade met the County average.  To assist with improving student achievement in Mathematics, the newly selected coaches and the instructional specialist will provide intensive support to teachers and students.</w:t>
      </w:r>
    </w:p>
    <w:p w:rsidR="006870DF" w:rsidRPr="006870DF" w:rsidRDefault="006870DF" w:rsidP="00142D49">
      <w:pPr>
        <w:rPr>
          <w:rFonts w:ascii="Times New Roman" w:hAnsi="Times New Roman"/>
          <w:b/>
          <w:color w:val="FF0000"/>
        </w:rPr>
      </w:pPr>
    </w:p>
    <w:p w:rsidR="0005496B" w:rsidRPr="00AB3F26" w:rsidRDefault="0005496B" w:rsidP="00AF6C1D">
      <w:pPr>
        <w:rPr>
          <w:rFonts w:ascii="Times New Roman" w:hAnsi="Times New Roman"/>
          <w:b/>
          <w:i/>
          <w:color w:val="FF0000"/>
        </w:rPr>
      </w:pPr>
    </w:p>
    <w:p w:rsidR="0005496B" w:rsidRDefault="0005496B" w:rsidP="00142D49">
      <w:pPr>
        <w:rPr>
          <w:rFonts w:ascii="Times New Roman" w:hAnsi="Times New Roman"/>
          <w:b/>
          <w:i/>
        </w:rPr>
      </w:pPr>
    </w:p>
    <w:p w:rsidR="0005496B" w:rsidRDefault="0005496B" w:rsidP="00142D49">
      <w:pPr>
        <w:rPr>
          <w:rFonts w:ascii="Times New Roman" w:hAnsi="Times New Roman"/>
          <w:b/>
          <w:i/>
        </w:rPr>
      </w:pPr>
    </w:p>
    <w:p w:rsidR="0005496B" w:rsidRDefault="0005496B" w:rsidP="0033489C">
      <w:pPr>
        <w:rPr>
          <w:rFonts w:ascii="Times New Roman" w:hAnsi="Times New Roman"/>
          <w:b/>
          <w:sz w:val="24"/>
          <w:szCs w:val="24"/>
        </w:rPr>
      </w:pPr>
    </w:p>
    <w:p w:rsidR="004745E1" w:rsidRDefault="004745E1" w:rsidP="00545312">
      <w:pPr>
        <w:ind w:firstLine="720"/>
        <w:rPr>
          <w:rFonts w:ascii="Times New Roman" w:hAnsi="Times New Roman"/>
          <w:b/>
          <w:sz w:val="24"/>
          <w:szCs w:val="24"/>
        </w:rPr>
      </w:pPr>
    </w:p>
    <w:p w:rsidR="004745E1" w:rsidRDefault="004745E1"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6870DF" w:rsidRDefault="006870DF" w:rsidP="00545312">
      <w:pPr>
        <w:ind w:firstLine="720"/>
        <w:rPr>
          <w:rFonts w:ascii="Times New Roman" w:hAnsi="Times New Roman"/>
          <w:b/>
          <w:sz w:val="24"/>
          <w:szCs w:val="24"/>
        </w:rPr>
      </w:pPr>
    </w:p>
    <w:p w:rsidR="0005496B" w:rsidRDefault="0005496B" w:rsidP="00545312">
      <w:pPr>
        <w:ind w:firstLine="720"/>
        <w:rPr>
          <w:rFonts w:ascii="Times New Roman" w:hAnsi="Times New Roman"/>
          <w:b/>
          <w:i/>
          <w:sz w:val="24"/>
          <w:szCs w:val="24"/>
        </w:rPr>
      </w:pPr>
      <w:r>
        <w:rPr>
          <w:rFonts w:ascii="Times New Roman" w:hAnsi="Times New Roman"/>
          <w:b/>
          <w:sz w:val="24"/>
          <w:szCs w:val="24"/>
        </w:rPr>
        <w:lastRenderedPageBreak/>
        <w:t xml:space="preserve">This chart shows the </w:t>
      </w:r>
      <w:r w:rsidRPr="00CD46D2">
        <w:rPr>
          <w:rFonts w:ascii="Times New Roman" w:hAnsi="Times New Roman"/>
          <w:b/>
          <w:i/>
          <w:sz w:val="24"/>
          <w:szCs w:val="24"/>
        </w:rPr>
        <w:t xml:space="preserve">Quarter </w:t>
      </w:r>
      <w:r>
        <w:rPr>
          <w:rFonts w:ascii="Times New Roman" w:hAnsi="Times New Roman"/>
          <w:b/>
          <w:i/>
          <w:sz w:val="24"/>
          <w:szCs w:val="24"/>
        </w:rPr>
        <w:t xml:space="preserve">2 </w:t>
      </w:r>
      <w:r w:rsidRPr="009C3DFC">
        <w:rPr>
          <w:rFonts w:ascii="Times New Roman" w:hAnsi="Times New Roman"/>
          <w:b/>
          <w:sz w:val="24"/>
          <w:szCs w:val="24"/>
        </w:rPr>
        <w:t xml:space="preserve">Math Benchmark Results </w:t>
      </w:r>
      <w:r w:rsidR="00070095" w:rsidRPr="009C3DFC">
        <w:rPr>
          <w:rFonts w:ascii="Times New Roman" w:hAnsi="Times New Roman"/>
          <w:b/>
          <w:sz w:val="24"/>
          <w:szCs w:val="24"/>
        </w:rPr>
        <w:t>by</w:t>
      </w:r>
      <w:r w:rsidRPr="009C3DFC">
        <w:rPr>
          <w:rFonts w:ascii="Times New Roman" w:hAnsi="Times New Roman"/>
          <w:b/>
          <w:sz w:val="24"/>
          <w:szCs w:val="24"/>
        </w:rPr>
        <w:t xml:space="preserve"> School and Grade Level. </w:t>
      </w:r>
      <w:r w:rsidRPr="009C3DFC">
        <w:rPr>
          <w:rFonts w:ascii="Times New Roman" w:hAnsi="Times New Roman"/>
          <w:b/>
          <w:i/>
          <w:sz w:val="24"/>
          <w:szCs w:val="24"/>
        </w:rPr>
        <w:t xml:space="preserve"> </w:t>
      </w:r>
    </w:p>
    <w:p w:rsidR="0005496B" w:rsidRPr="00740219" w:rsidRDefault="00320974" w:rsidP="00740219">
      <w:pPr>
        <w:ind w:firstLine="720"/>
        <w:rPr>
          <w:rFonts w:ascii="Times New Roman" w:hAnsi="Times New Roman"/>
          <w:b/>
          <w:sz w:val="24"/>
          <w:szCs w:val="24"/>
        </w:rPr>
      </w:pPr>
      <w:r>
        <w:rPr>
          <w:noProof/>
        </w:rPr>
        <w:drawing>
          <wp:inline distT="0" distB="0" distL="0" distR="0">
            <wp:extent cx="5943600" cy="4311015"/>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70DF" w:rsidRPr="00290740" w:rsidRDefault="006870DF" w:rsidP="006870DF">
      <w:pPr>
        <w:rPr>
          <w:rFonts w:ascii="Times New Roman" w:hAnsi="Times New Roman"/>
          <w:b/>
          <w:sz w:val="24"/>
          <w:szCs w:val="24"/>
        </w:rPr>
      </w:pPr>
      <w:r w:rsidRPr="00290740">
        <w:rPr>
          <w:rFonts w:ascii="Times New Roman" w:hAnsi="Times New Roman"/>
          <w:b/>
          <w:sz w:val="24"/>
          <w:szCs w:val="24"/>
        </w:rPr>
        <w:t xml:space="preserve">County FAST II </w:t>
      </w:r>
      <w:r>
        <w:rPr>
          <w:rFonts w:ascii="Times New Roman" w:hAnsi="Times New Roman"/>
          <w:b/>
          <w:sz w:val="24"/>
          <w:szCs w:val="24"/>
        </w:rPr>
        <w:t xml:space="preserve">Mathematics </w:t>
      </w:r>
      <w:r w:rsidRPr="00290740">
        <w:rPr>
          <w:rFonts w:ascii="Times New Roman" w:hAnsi="Times New Roman"/>
          <w:b/>
          <w:sz w:val="24"/>
          <w:szCs w:val="24"/>
        </w:rPr>
        <w:t>Average</w:t>
      </w:r>
    </w:p>
    <w:p w:rsidR="006870DF" w:rsidRPr="006870DF" w:rsidRDefault="006870DF" w:rsidP="006870DF">
      <w:pPr>
        <w:rPr>
          <w:rFonts w:ascii="Times New Roman" w:hAnsi="Times New Roman"/>
          <w:sz w:val="24"/>
          <w:szCs w:val="24"/>
        </w:rPr>
      </w:pPr>
      <w:r>
        <w:rPr>
          <w:rFonts w:ascii="Times New Roman" w:hAnsi="Times New Roman"/>
          <w:sz w:val="24"/>
          <w:szCs w:val="24"/>
        </w:rPr>
        <w:t>6</w:t>
      </w:r>
      <w:r w:rsidRPr="00290740">
        <w:rPr>
          <w:rFonts w:ascii="Times New Roman" w:hAnsi="Times New Roman"/>
          <w:sz w:val="24"/>
          <w:szCs w:val="24"/>
          <w:vertAlign w:val="superscript"/>
        </w:rPr>
        <w:t>th</w:t>
      </w:r>
      <w:r>
        <w:rPr>
          <w:rFonts w:ascii="Times New Roman" w:hAnsi="Times New Roman"/>
          <w:sz w:val="24"/>
          <w:szCs w:val="24"/>
        </w:rPr>
        <w:t xml:space="preserve"> Grade – 61.8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Pr="00290740">
        <w:rPr>
          <w:rFonts w:ascii="Times New Roman" w:hAnsi="Times New Roman"/>
          <w:sz w:val="24"/>
          <w:szCs w:val="24"/>
          <w:vertAlign w:val="superscript"/>
        </w:rPr>
        <w:t>th</w:t>
      </w:r>
      <w:r>
        <w:rPr>
          <w:rFonts w:ascii="Times New Roman" w:hAnsi="Times New Roman"/>
          <w:sz w:val="24"/>
          <w:szCs w:val="24"/>
        </w:rPr>
        <w:t xml:space="preserve"> Grade – 62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sidRPr="00290740">
        <w:rPr>
          <w:rFonts w:ascii="Times New Roman" w:hAnsi="Times New Roman"/>
          <w:sz w:val="24"/>
          <w:szCs w:val="24"/>
          <w:vertAlign w:val="superscript"/>
        </w:rPr>
        <w:t>th</w:t>
      </w:r>
      <w:r>
        <w:rPr>
          <w:rFonts w:ascii="Times New Roman" w:hAnsi="Times New Roman"/>
          <w:sz w:val="24"/>
          <w:szCs w:val="24"/>
        </w:rPr>
        <w:t xml:space="preserve"> Grade – 56.3</w:t>
      </w:r>
    </w:p>
    <w:p w:rsidR="00320974" w:rsidRDefault="00954FAA" w:rsidP="00545312">
      <w:pPr>
        <w:ind w:right="-450"/>
      </w:pPr>
      <w:r>
        <w:t>The County average for achievement in 6</w:t>
      </w:r>
      <w:r w:rsidRPr="00954FAA">
        <w:rPr>
          <w:vertAlign w:val="superscript"/>
        </w:rPr>
        <w:t>th</w:t>
      </w:r>
      <w:r>
        <w:t xml:space="preserve"> Grade was 61.8 percent.  According to the chart, Thomas Johnson </w:t>
      </w:r>
      <w:r w:rsidR="00070095">
        <w:t>was 26 percent below the County average.  Student achievement in the 7</w:t>
      </w:r>
      <w:r w:rsidR="00070095" w:rsidRPr="00070095">
        <w:rPr>
          <w:vertAlign w:val="superscript"/>
        </w:rPr>
        <w:t>th</w:t>
      </w:r>
      <w:r w:rsidR="00070095">
        <w:t xml:space="preserve"> and 8</w:t>
      </w:r>
      <w:r w:rsidR="00070095" w:rsidRPr="00070095">
        <w:rPr>
          <w:vertAlign w:val="superscript"/>
        </w:rPr>
        <w:t>th</w:t>
      </w:r>
      <w:r w:rsidR="00070095">
        <w:t xml:space="preserve"> grade was significantly better than students currently enrolled in the 6</w:t>
      </w:r>
      <w:r w:rsidR="00070095" w:rsidRPr="00070095">
        <w:rPr>
          <w:vertAlign w:val="superscript"/>
        </w:rPr>
        <w:t>th</w:t>
      </w:r>
      <w:r w:rsidR="00070095">
        <w:t xml:space="preserve"> grade.  7</w:t>
      </w:r>
      <w:r w:rsidR="00070095" w:rsidRPr="00070095">
        <w:rPr>
          <w:vertAlign w:val="superscript"/>
        </w:rPr>
        <w:t>th</w:t>
      </w:r>
      <w:r w:rsidR="00070095">
        <w:t xml:space="preserve"> grade students achieved at a rate of 55 percent which is 7 percent below the County average.  Furthermore, 8</w:t>
      </w:r>
      <w:r w:rsidR="00070095" w:rsidRPr="00070095">
        <w:rPr>
          <w:vertAlign w:val="superscript"/>
        </w:rPr>
        <w:t>th</w:t>
      </w:r>
      <w:r w:rsidR="00070095">
        <w:t xml:space="preserve"> grade students achieved at a rate of 50 percent which is 6 percent below the County Average.</w:t>
      </w:r>
    </w:p>
    <w:p w:rsidR="00070095" w:rsidRDefault="00070095" w:rsidP="00545312">
      <w:pPr>
        <w:ind w:right="-450"/>
      </w:pPr>
      <w:r>
        <w:t>Oxon Hill Middle School, while under the County Average, showed growth for students enrolled in Math 7.  Student achievement for 7</w:t>
      </w:r>
      <w:r w:rsidRPr="00070095">
        <w:rPr>
          <w:vertAlign w:val="superscript"/>
        </w:rPr>
        <w:t>th</w:t>
      </w:r>
      <w:r>
        <w:t xml:space="preserve"> grade was 39.35 percent.  Students in the 8</w:t>
      </w:r>
      <w:r w:rsidRPr="00070095">
        <w:rPr>
          <w:vertAlign w:val="superscript"/>
        </w:rPr>
        <w:t>th</w:t>
      </w:r>
      <w:r>
        <w:t xml:space="preserve"> grade met the County average of 56 percent which represents a 15 percent increase in student achievement.</w:t>
      </w:r>
    </w:p>
    <w:p w:rsidR="00320974" w:rsidRPr="00AF6C1D" w:rsidRDefault="00320974" w:rsidP="00320974">
      <w:pPr>
        <w:jc w:val="center"/>
        <w:rPr>
          <w:rFonts w:ascii="Times New Roman" w:hAnsi="Times New Roman"/>
          <w:b/>
          <w:i/>
          <w:sz w:val="24"/>
          <w:szCs w:val="24"/>
        </w:rPr>
      </w:pPr>
      <w:r>
        <w:rPr>
          <w:rFonts w:ascii="Times New Roman" w:hAnsi="Times New Roman"/>
          <w:b/>
          <w:sz w:val="24"/>
          <w:szCs w:val="24"/>
        </w:rPr>
        <w:lastRenderedPageBreak/>
        <w:t xml:space="preserve">This chart shows the </w:t>
      </w:r>
      <w:r>
        <w:rPr>
          <w:rFonts w:ascii="Times New Roman" w:hAnsi="Times New Roman"/>
          <w:b/>
          <w:i/>
          <w:sz w:val="24"/>
          <w:szCs w:val="24"/>
        </w:rPr>
        <w:t xml:space="preserve">FAST I and FAST II </w:t>
      </w:r>
      <w:r>
        <w:rPr>
          <w:rFonts w:ascii="Times New Roman" w:hAnsi="Times New Roman"/>
          <w:b/>
          <w:sz w:val="24"/>
          <w:szCs w:val="24"/>
        </w:rPr>
        <w:t>Mathematics</w:t>
      </w:r>
      <w:r w:rsidRPr="009C3DFC">
        <w:rPr>
          <w:rFonts w:ascii="Times New Roman" w:hAnsi="Times New Roman"/>
          <w:b/>
          <w:sz w:val="24"/>
          <w:szCs w:val="24"/>
        </w:rPr>
        <w:t xml:space="preserve"> </w:t>
      </w:r>
      <w:r>
        <w:rPr>
          <w:rFonts w:ascii="Times New Roman" w:hAnsi="Times New Roman"/>
          <w:b/>
          <w:sz w:val="24"/>
          <w:szCs w:val="24"/>
        </w:rPr>
        <w:t>Benchmark Results b</w:t>
      </w:r>
      <w:r w:rsidRPr="009C3DFC">
        <w:rPr>
          <w:rFonts w:ascii="Times New Roman" w:hAnsi="Times New Roman"/>
          <w:b/>
          <w:sz w:val="24"/>
          <w:szCs w:val="24"/>
        </w:rPr>
        <w:t>y School and Grade Level.</w:t>
      </w:r>
    </w:p>
    <w:p w:rsidR="00320974" w:rsidRDefault="00320974" w:rsidP="002A3A45">
      <w:pPr>
        <w:ind w:right="-450"/>
        <w:jc w:val="center"/>
      </w:pPr>
      <w:r>
        <w:rPr>
          <w:noProof/>
        </w:rPr>
        <w:drawing>
          <wp:inline distT="0" distB="0" distL="0" distR="0">
            <wp:extent cx="5943600" cy="29813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974" w:rsidRDefault="00320974" w:rsidP="002A3A45">
      <w:pPr>
        <w:ind w:right="-450"/>
        <w:jc w:val="center"/>
      </w:pPr>
      <w:r>
        <w:rPr>
          <w:noProof/>
        </w:rPr>
        <w:drawing>
          <wp:inline distT="0" distB="0" distL="0" distR="0">
            <wp:extent cx="5943600" cy="3095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305F" w:rsidRDefault="00545312" w:rsidP="005F305F">
      <w:pPr>
        <w:rPr>
          <w:rFonts w:ascii="Times New Roman" w:hAnsi="Times New Roman"/>
          <w:sz w:val="24"/>
          <w:szCs w:val="24"/>
        </w:rPr>
      </w:pPr>
      <w:r>
        <w:lastRenderedPageBreak/>
        <w:t xml:space="preserve"> </w:t>
      </w:r>
      <w:r w:rsidR="005F305F">
        <w:rPr>
          <w:rFonts w:ascii="Times New Roman" w:hAnsi="Times New Roman"/>
          <w:b/>
          <w:sz w:val="24"/>
          <w:szCs w:val="24"/>
          <w:u w:val="single"/>
        </w:rPr>
        <w:t>Mathematics Third Quarter Analysis</w:t>
      </w:r>
    </w:p>
    <w:p w:rsidR="005F305F" w:rsidRDefault="005F305F" w:rsidP="005F305F">
      <w:pPr>
        <w:rPr>
          <w:rFonts w:ascii="Times New Roman" w:hAnsi="Times New Roman"/>
          <w:sz w:val="24"/>
          <w:szCs w:val="24"/>
        </w:rPr>
      </w:pPr>
      <w:r>
        <w:rPr>
          <w:rFonts w:ascii="Times New Roman" w:hAnsi="Times New Roman"/>
          <w:sz w:val="24"/>
          <w:szCs w:val="24"/>
        </w:rPr>
        <w:t>Consistent with Reading, FAST is not given during the third quarter; therefore, an analysis of the work performed during this period to include activities, and how those activities supported teacher growth and student achievement.</w:t>
      </w:r>
    </w:p>
    <w:p w:rsidR="005F305F" w:rsidRPr="005F305F" w:rsidRDefault="005F305F" w:rsidP="005F305F">
      <w:pPr>
        <w:spacing w:after="0"/>
        <w:rPr>
          <w:b/>
          <w:sz w:val="32"/>
          <w:szCs w:val="32"/>
        </w:rPr>
      </w:pPr>
      <w:r w:rsidRPr="005F305F">
        <w:rPr>
          <w:b/>
          <w:sz w:val="32"/>
          <w:szCs w:val="32"/>
        </w:rPr>
        <w:t>SIG II MIDDLE Schools</w:t>
      </w:r>
    </w:p>
    <w:p w:rsidR="005F305F" w:rsidRPr="005F305F" w:rsidRDefault="005F305F" w:rsidP="005F305F">
      <w:pPr>
        <w:spacing w:after="0"/>
        <w:rPr>
          <w:sz w:val="24"/>
          <w:szCs w:val="24"/>
        </w:rPr>
      </w:pPr>
      <w:r w:rsidRPr="005F305F">
        <w:rPr>
          <w:b/>
          <w:sz w:val="24"/>
          <w:szCs w:val="24"/>
        </w:rPr>
        <w:t>(Oxon Hill and Thomas Johnson</w:t>
      </w:r>
      <w:r w:rsidRPr="005F305F">
        <w:rPr>
          <w:rFonts w:cs="Calibri"/>
          <w:b/>
          <w:sz w:val="24"/>
          <w:szCs w:val="24"/>
        </w:rPr>
        <w:t>)</w:t>
      </w:r>
    </w:p>
    <w:tbl>
      <w:tblPr>
        <w:tblStyle w:val="TableGrid3"/>
        <w:tblW w:w="13158" w:type="dxa"/>
        <w:tblLook w:val="04A0" w:firstRow="1" w:lastRow="0" w:firstColumn="1" w:lastColumn="0" w:noHBand="0" w:noVBand="1"/>
      </w:tblPr>
      <w:tblGrid>
        <w:gridCol w:w="3366"/>
        <w:gridCol w:w="4752"/>
        <w:gridCol w:w="5040"/>
      </w:tblGrid>
      <w:tr w:rsidR="005F305F" w:rsidRPr="005F305F" w:rsidTr="005F305F">
        <w:tc>
          <w:tcPr>
            <w:tcW w:w="3366" w:type="dxa"/>
          </w:tcPr>
          <w:p w:rsidR="005F305F" w:rsidRPr="005F305F" w:rsidRDefault="005F305F" w:rsidP="005F305F">
            <w:pPr>
              <w:spacing w:after="0" w:line="240" w:lineRule="auto"/>
              <w:jc w:val="center"/>
              <w:rPr>
                <w:b/>
              </w:rPr>
            </w:pPr>
            <w:r w:rsidRPr="005F305F">
              <w:rPr>
                <w:b/>
              </w:rPr>
              <w:t>Activities</w:t>
            </w:r>
          </w:p>
        </w:tc>
        <w:tc>
          <w:tcPr>
            <w:tcW w:w="4752" w:type="dxa"/>
          </w:tcPr>
          <w:p w:rsidR="005F305F" w:rsidRPr="005F305F" w:rsidRDefault="005F305F" w:rsidP="005F305F">
            <w:pPr>
              <w:spacing w:after="0" w:line="240" w:lineRule="auto"/>
              <w:jc w:val="center"/>
              <w:rPr>
                <w:b/>
              </w:rPr>
            </w:pPr>
            <w:r w:rsidRPr="005F305F">
              <w:rPr>
                <w:b/>
              </w:rPr>
              <w:t>How Activities Supported Teacher Growth</w:t>
            </w:r>
          </w:p>
        </w:tc>
        <w:tc>
          <w:tcPr>
            <w:tcW w:w="5040" w:type="dxa"/>
          </w:tcPr>
          <w:p w:rsidR="005F305F" w:rsidRPr="005F305F" w:rsidRDefault="005F305F" w:rsidP="005F305F">
            <w:pPr>
              <w:spacing w:after="0" w:line="240" w:lineRule="auto"/>
              <w:jc w:val="center"/>
              <w:rPr>
                <w:b/>
              </w:rPr>
            </w:pPr>
            <w:r w:rsidRPr="005F305F">
              <w:rPr>
                <w:b/>
              </w:rPr>
              <w:t>How Activities Supported Student Achievement</w:t>
            </w:r>
          </w:p>
        </w:tc>
      </w:tr>
      <w:tr w:rsidR="005F305F" w:rsidRPr="005F305F" w:rsidTr="005F305F">
        <w:trPr>
          <w:trHeight w:val="218"/>
        </w:trPr>
        <w:tc>
          <w:tcPr>
            <w:tcW w:w="3366" w:type="dxa"/>
          </w:tcPr>
          <w:p w:rsidR="005F305F" w:rsidRPr="005F305F" w:rsidRDefault="005F305F" w:rsidP="005F305F">
            <w:pPr>
              <w:numPr>
                <w:ilvl w:val="0"/>
                <w:numId w:val="30"/>
              </w:numPr>
              <w:spacing w:after="0" w:line="240" w:lineRule="auto"/>
              <w:contextualSpacing/>
            </w:pPr>
            <w:r w:rsidRPr="005F305F">
              <w:t>School Based Collaborative Planning</w:t>
            </w:r>
          </w:p>
        </w:tc>
        <w:tc>
          <w:tcPr>
            <w:tcW w:w="4752" w:type="dxa"/>
          </w:tcPr>
          <w:p w:rsidR="005F305F" w:rsidRPr="005F305F" w:rsidRDefault="005F305F" w:rsidP="005F305F">
            <w:pPr>
              <w:spacing w:after="0" w:line="240" w:lineRule="auto"/>
              <w:contextualSpacing/>
            </w:pPr>
            <w:r w:rsidRPr="005F305F">
              <w:rPr>
                <w:sz w:val="24"/>
                <w:szCs w:val="24"/>
              </w:rPr>
              <w:t xml:space="preserve">The coach develops lesson plans with the mathematics teachers that have the same focus as the sessions planned with the partner. </w:t>
            </w:r>
          </w:p>
        </w:tc>
        <w:tc>
          <w:tcPr>
            <w:tcW w:w="5040" w:type="dxa"/>
          </w:tcPr>
          <w:p w:rsidR="005F305F" w:rsidRPr="005F305F" w:rsidRDefault="005F305F" w:rsidP="005F305F">
            <w:pPr>
              <w:spacing w:after="0" w:line="240" w:lineRule="auto"/>
            </w:pPr>
            <w:r w:rsidRPr="005F305F">
              <w:rPr>
                <w:rFonts w:cs="Calibri"/>
                <w:sz w:val="24"/>
                <w:szCs w:val="24"/>
              </w:rPr>
              <w:t>Students are exposed to more instruction that allows them to use appropriate mathematical language, models and manipulatives that support their deep understanding of mathematics, and aligned to state curriculum objectives that results in increased student learning of mathematics.</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pPr>
            <w:r w:rsidRPr="005F305F">
              <w:t>School Based Lesson Implementation Walkthrough</w:t>
            </w:r>
          </w:p>
        </w:tc>
        <w:tc>
          <w:tcPr>
            <w:tcW w:w="4752" w:type="dxa"/>
          </w:tcPr>
          <w:p w:rsidR="005F305F" w:rsidRPr="005F305F" w:rsidRDefault="005F305F" w:rsidP="005F305F">
            <w:pPr>
              <w:spacing w:after="0" w:line="240" w:lineRule="auto"/>
              <w:contextualSpacing/>
            </w:pPr>
            <w:r w:rsidRPr="005F305F">
              <w:rPr>
                <w:rFonts w:cs="Calibri"/>
                <w:sz w:val="24"/>
                <w:szCs w:val="24"/>
              </w:rPr>
              <w:t xml:space="preserve">The walkthroughs provide teachers with feedback on their implemented lesson plans. The feedback given to the teachers inform their instructional practice. </w:t>
            </w:r>
          </w:p>
        </w:tc>
        <w:tc>
          <w:tcPr>
            <w:tcW w:w="5040" w:type="dxa"/>
          </w:tcPr>
          <w:p w:rsidR="005F305F" w:rsidRPr="005F305F" w:rsidRDefault="005F305F" w:rsidP="005F305F">
            <w:pPr>
              <w:spacing w:after="0" w:line="240" w:lineRule="auto"/>
              <w:contextualSpacing/>
            </w:pPr>
            <w:r w:rsidRPr="005F305F">
              <w:rPr>
                <w:rFonts w:cs="Calibri"/>
                <w:sz w:val="24"/>
                <w:szCs w:val="24"/>
              </w:rPr>
              <w:t>Students are asked questions during instructional walks that show their thoughts around what they are learning is valued and important to what the teachers are learning in the process of improving teaching and learning</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pPr>
            <w:r w:rsidRPr="005F305F">
              <w:t>Mosaica Partnership (Professional development, leadership and coaching support)</w:t>
            </w:r>
          </w:p>
        </w:tc>
        <w:tc>
          <w:tcPr>
            <w:tcW w:w="4752" w:type="dxa"/>
          </w:tcPr>
          <w:p w:rsidR="005F305F" w:rsidRPr="005F305F" w:rsidRDefault="005F305F" w:rsidP="005F305F">
            <w:pPr>
              <w:spacing w:after="0" w:line="240" w:lineRule="auto"/>
              <w:rPr>
                <w:rFonts w:cs="Calibri"/>
              </w:rPr>
            </w:pPr>
            <w:r w:rsidRPr="005F305F">
              <w:rPr>
                <w:rFonts w:cs="Calibri"/>
                <w:sz w:val="24"/>
                <w:szCs w:val="24"/>
              </w:rPr>
              <w:t>Professional development and support during collaborative planning across content areas has extended teacher thinking around pedagogy and thinking toward common core shifts</w:t>
            </w:r>
          </w:p>
        </w:tc>
        <w:tc>
          <w:tcPr>
            <w:tcW w:w="5040" w:type="dxa"/>
          </w:tcPr>
          <w:p w:rsidR="005F305F" w:rsidRPr="005F305F" w:rsidRDefault="005F305F" w:rsidP="005F305F">
            <w:pPr>
              <w:spacing w:after="0" w:line="240" w:lineRule="auto"/>
              <w:contextualSpacing/>
            </w:pPr>
            <w:r w:rsidRPr="005F305F">
              <w:rPr>
                <w:rFonts w:cs="Calibri"/>
                <w:sz w:val="24"/>
                <w:szCs w:val="24"/>
              </w:rPr>
              <w:t>Students are engaged in more cross-curricular learning activities as teachers approach instruction using similar strategies (Webb’s Depth of Knowledge</w:t>
            </w:r>
            <w:r w:rsidRPr="005F305F">
              <w:rPr>
                <w:rFonts w:ascii="Times New Roman" w:hAnsi="Times New Roman"/>
                <w:sz w:val="24"/>
                <w:szCs w:val="24"/>
              </w:rPr>
              <w:t>)</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pPr>
            <w:r w:rsidRPr="005F305F">
              <w:t>Extended Learning Opportunities</w:t>
            </w:r>
          </w:p>
        </w:tc>
        <w:tc>
          <w:tcPr>
            <w:tcW w:w="4752" w:type="dxa"/>
          </w:tcPr>
          <w:p w:rsidR="005F305F" w:rsidRPr="005F305F" w:rsidRDefault="005F305F" w:rsidP="005F305F">
            <w:pPr>
              <w:spacing w:after="0" w:line="240" w:lineRule="auto"/>
              <w:contextualSpacing/>
            </w:pPr>
            <w:r w:rsidRPr="005F305F">
              <w:rPr>
                <w:rFonts w:cs="Calibri"/>
                <w:sz w:val="24"/>
                <w:szCs w:val="24"/>
              </w:rPr>
              <w:t>Teachers have the opportunity to work with small groups of students and engage in further practice with the best practices and strategies discussed in collaborative planning (partner and school-based)</w:t>
            </w:r>
          </w:p>
        </w:tc>
        <w:tc>
          <w:tcPr>
            <w:tcW w:w="5040" w:type="dxa"/>
          </w:tcPr>
          <w:p w:rsidR="005F305F" w:rsidRPr="005F305F" w:rsidRDefault="005F305F" w:rsidP="005F305F">
            <w:pPr>
              <w:spacing w:after="0" w:line="240" w:lineRule="auto"/>
              <w:contextualSpacing/>
            </w:pPr>
            <w:r w:rsidRPr="005F305F">
              <w:rPr>
                <w:rFonts w:cs="Calibri"/>
                <w:sz w:val="24"/>
                <w:szCs w:val="24"/>
              </w:rPr>
              <w:t>Students were targeted for inclusion in the ELO programs and through exposure to re-teaching and extended practice opportunities they have gained greater task persistence</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pPr>
            <w:r w:rsidRPr="005F305F">
              <w:t>Project 50 Professional Learning Community (select cohort of teachers)</w:t>
            </w:r>
          </w:p>
        </w:tc>
        <w:tc>
          <w:tcPr>
            <w:tcW w:w="4752" w:type="dxa"/>
          </w:tcPr>
          <w:p w:rsidR="005F305F" w:rsidRPr="005F305F" w:rsidRDefault="005F305F" w:rsidP="005F305F">
            <w:pPr>
              <w:spacing w:after="0" w:line="240" w:lineRule="auto"/>
              <w:contextualSpacing/>
            </w:pPr>
            <w:r w:rsidRPr="005F305F">
              <w:rPr>
                <w:rFonts w:cs="Calibri"/>
                <w:sz w:val="24"/>
                <w:szCs w:val="24"/>
              </w:rPr>
              <w:t xml:space="preserve">The FFT frame focused teacher attention upon the domains utilized in evaluation. Teachers have shown greater reflection in their practice and the cohorts have engaged in discussion that supports deepening of teaching and </w:t>
            </w:r>
            <w:r w:rsidRPr="005F305F">
              <w:rPr>
                <w:rFonts w:cs="Calibri"/>
                <w:sz w:val="24"/>
                <w:szCs w:val="24"/>
              </w:rPr>
              <w:lastRenderedPageBreak/>
              <w:t>learning</w:t>
            </w:r>
          </w:p>
        </w:tc>
        <w:tc>
          <w:tcPr>
            <w:tcW w:w="5040" w:type="dxa"/>
          </w:tcPr>
          <w:p w:rsidR="005F305F" w:rsidRPr="005F305F" w:rsidRDefault="005F305F" w:rsidP="005F305F">
            <w:pPr>
              <w:spacing w:after="0" w:line="240" w:lineRule="auto"/>
              <w:contextualSpacing/>
            </w:pPr>
            <w:r w:rsidRPr="005F305F">
              <w:rPr>
                <w:rFonts w:cs="Calibri"/>
                <w:sz w:val="24"/>
                <w:szCs w:val="24"/>
              </w:rPr>
              <w:lastRenderedPageBreak/>
              <w:t xml:space="preserve">One aspect of Project 50 has been teacher use of specific techniques (discussion techniques, questioning, classroom environment) that have been evaluated by the lead teachers/coaches in relation to student data. Data collected shows </w:t>
            </w:r>
            <w:r w:rsidRPr="005F305F">
              <w:rPr>
                <w:rFonts w:cs="Calibri"/>
                <w:sz w:val="24"/>
                <w:szCs w:val="24"/>
              </w:rPr>
              <w:lastRenderedPageBreak/>
              <w:t>that student engagement is increasing and the learning environment has begun to shift to more student centered practices</w:t>
            </w:r>
          </w:p>
        </w:tc>
      </w:tr>
      <w:tr w:rsidR="005F305F" w:rsidRPr="005F305F" w:rsidTr="005F305F">
        <w:tc>
          <w:tcPr>
            <w:tcW w:w="13158" w:type="dxa"/>
            <w:gridSpan w:val="3"/>
          </w:tcPr>
          <w:p w:rsidR="005F305F" w:rsidRPr="005F305F" w:rsidRDefault="005F305F" w:rsidP="005F305F">
            <w:pPr>
              <w:spacing w:after="0" w:line="240" w:lineRule="auto"/>
            </w:pPr>
            <w:r w:rsidRPr="005F305F">
              <w:lastRenderedPageBreak/>
              <w:t>Next Steps:</w:t>
            </w:r>
          </w:p>
          <w:p w:rsidR="005F305F" w:rsidRPr="005F305F" w:rsidRDefault="005F305F" w:rsidP="005F305F">
            <w:pPr>
              <w:spacing w:after="0" w:line="240" w:lineRule="auto"/>
              <w:rPr>
                <w:rFonts w:cs="Calibri"/>
                <w:sz w:val="24"/>
                <w:szCs w:val="24"/>
              </w:rPr>
            </w:pPr>
            <w:r w:rsidRPr="005F305F">
              <w:rPr>
                <w:rFonts w:cs="Calibri"/>
                <w:sz w:val="24"/>
                <w:szCs w:val="24"/>
              </w:rPr>
              <w:t>Professional Development opportunities that include:</w:t>
            </w:r>
          </w:p>
          <w:p w:rsidR="005F305F" w:rsidRPr="005F305F" w:rsidRDefault="005F305F" w:rsidP="005F305F">
            <w:pPr>
              <w:numPr>
                <w:ilvl w:val="0"/>
                <w:numId w:val="31"/>
              </w:numPr>
              <w:spacing w:after="0" w:line="240" w:lineRule="auto"/>
              <w:contextualSpacing/>
              <w:rPr>
                <w:rFonts w:cs="Calibri"/>
                <w:sz w:val="24"/>
                <w:szCs w:val="24"/>
              </w:rPr>
            </w:pPr>
            <w:r w:rsidRPr="005F305F">
              <w:rPr>
                <w:rFonts w:cs="Calibri"/>
                <w:sz w:val="24"/>
                <w:szCs w:val="24"/>
              </w:rPr>
              <w:t>Develop lessons that incorporate the use of the Standards of Mathematical Practices</w:t>
            </w:r>
          </w:p>
          <w:p w:rsidR="005F305F" w:rsidRPr="005F305F" w:rsidRDefault="005F305F" w:rsidP="005F305F">
            <w:pPr>
              <w:numPr>
                <w:ilvl w:val="0"/>
                <w:numId w:val="31"/>
              </w:numPr>
              <w:spacing w:after="0" w:line="240" w:lineRule="auto"/>
              <w:contextualSpacing/>
              <w:rPr>
                <w:rFonts w:cs="Calibri"/>
                <w:sz w:val="24"/>
                <w:szCs w:val="24"/>
              </w:rPr>
            </w:pPr>
            <w:r w:rsidRPr="005F305F">
              <w:rPr>
                <w:rFonts w:cs="Calibri"/>
                <w:sz w:val="24"/>
                <w:szCs w:val="24"/>
              </w:rPr>
              <w:t>Writing and analyzing rich mathematical tasks</w:t>
            </w:r>
          </w:p>
          <w:p w:rsidR="005F305F" w:rsidRPr="005F305F" w:rsidRDefault="005F305F" w:rsidP="005F305F">
            <w:pPr>
              <w:numPr>
                <w:ilvl w:val="0"/>
                <w:numId w:val="31"/>
              </w:numPr>
              <w:spacing w:after="0" w:line="240" w:lineRule="auto"/>
              <w:contextualSpacing/>
              <w:rPr>
                <w:rFonts w:cs="Calibri"/>
                <w:sz w:val="24"/>
                <w:szCs w:val="24"/>
              </w:rPr>
            </w:pPr>
            <w:r w:rsidRPr="005F305F">
              <w:rPr>
                <w:rFonts w:cs="Calibri"/>
                <w:sz w:val="24"/>
                <w:szCs w:val="24"/>
              </w:rPr>
              <w:t>Analyzing student work</w:t>
            </w:r>
          </w:p>
          <w:p w:rsidR="005F305F" w:rsidRPr="005F305F" w:rsidRDefault="005F305F" w:rsidP="005F305F">
            <w:pPr>
              <w:spacing w:after="0" w:line="240" w:lineRule="auto"/>
            </w:pPr>
          </w:p>
        </w:tc>
      </w:tr>
    </w:tbl>
    <w:p w:rsidR="005F305F" w:rsidRPr="005F305F" w:rsidRDefault="005F305F" w:rsidP="005F305F">
      <w:pPr>
        <w:rPr>
          <w:sz w:val="24"/>
          <w:szCs w:val="24"/>
        </w:rPr>
      </w:pPr>
    </w:p>
    <w:p w:rsidR="005F305F" w:rsidRPr="005F305F" w:rsidRDefault="005F305F" w:rsidP="005F305F">
      <w:pPr>
        <w:rPr>
          <w:sz w:val="24"/>
          <w:szCs w:val="24"/>
        </w:rPr>
      </w:pPr>
    </w:p>
    <w:p w:rsidR="005F305F" w:rsidRPr="005F305F" w:rsidRDefault="005F305F" w:rsidP="005F305F">
      <w:pPr>
        <w:rPr>
          <w:sz w:val="24"/>
          <w:szCs w:val="24"/>
        </w:rPr>
      </w:pPr>
    </w:p>
    <w:p w:rsidR="005F305F" w:rsidRPr="005F305F" w:rsidRDefault="005F305F" w:rsidP="005F305F">
      <w:pPr>
        <w:rPr>
          <w:sz w:val="24"/>
          <w:szCs w:val="24"/>
        </w:rPr>
      </w:pPr>
    </w:p>
    <w:p w:rsidR="005F305F" w:rsidRPr="005F305F" w:rsidRDefault="005F305F" w:rsidP="005F305F">
      <w:pPr>
        <w:rPr>
          <w:sz w:val="24"/>
          <w:szCs w:val="24"/>
        </w:rPr>
      </w:pPr>
    </w:p>
    <w:p w:rsidR="005F305F" w:rsidRPr="005F305F" w:rsidRDefault="005F305F" w:rsidP="005F305F">
      <w:pPr>
        <w:rPr>
          <w:rFonts w:cs="Calibri"/>
          <w:sz w:val="32"/>
          <w:szCs w:val="32"/>
        </w:rPr>
      </w:pPr>
    </w:p>
    <w:p w:rsidR="005F305F" w:rsidRDefault="005F305F" w:rsidP="005F305F">
      <w:pPr>
        <w:rPr>
          <w:rFonts w:cs="Calibri"/>
          <w:sz w:val="32"/>
          <w:szCs w:val="32"/>
        </w:rPr>
      </w:pPr>
    </w:p>
    <w:p w:rsidR="005F305F" w:rsidRDefault="005F305F" w:rsidP="005F305F">
      <w:pPr>
        <w:rPr>
          <w:rFonts w:cs="Calibri"/>
          <w:sz w:val="32"/>
          <w:szCs w:val="32"/>
        </w:rPr>
      </w:pPr>
    </w:p>
    <w:p w:rsidR="005F305F" w:rsidRDefault="005F305F" w:rsidP="005F305F">
      <w:pPr>
        <w:rPr>
          <w:rFonts w:cs="Calibri"/>
          <w:sz w:val="32"/>
          <w:szCs w:val="32"/>
        </w:rPr>
      </w:pPr>
    </w:p>
    <w:p w:rsidR="005F305F" w:rsidRDefault="005F305F" w:rsidP="005F305F">
      <w:pPr>
        <w:rPr>
          <w:rFonts w:cs="Calibri"/>
          <w:sz w:val="32"/>
          <w:szCs w:val="32"/>
        </w:rPr>
      </w:pPr>
    </w:p>
    <w:p w:rsidR="005F305F" w:rsidRDefault="005F305F" w:rsidP="005F305F">
      <w:pPr>
        <w:rPr>
          <w:rFonts w:cs="Calibri"/>
          <w:sz w:val="32"/>
          <w:szCs w:val="32"/>
        </w:rPr>
      </w:pPr>
    </w:p>
    <w:p w:rsidR="005F305F" w:rsidRDefault="005F305F" w:rsidP="005F305F">
      <w:pPr>
        <w:rPr>
          <w:rFonts w:cs="Calibri"/>
          <w:sz w:val="32"/>
          <w:szCs w:val="32"/>
        </w:rPr>
      </w:pPr>
    </w:p>
    <w:p w:rsidR="005F305F" w:rsidRDefault="005F305F" w:rsidP="005F305F">
      <w:pPr>
        <w:rPr>
          <w:rFonts w:cs="Calibri"/>
          <w:sz w:val="32"/>
          <w:szCs w:val="32"/>
        </w:rPr>
      </w:pPr>
    </w:p>
    <w:p w:rsidR="005F305F" w:rsidRPr="005F305F" w:rsidRDefault="005F305F" w:rsidP="005F305F">
      <w:pPr>
        <w:rPr>
          <w:rFonts w:cs="Calibri"/>
          <w:sz w:val="32"/>
          <w:szCs w:val="32"/>
        </w:rPr>
      </w:pPr>
      <w:r w:rsidRPr="005F305F">
        <w:rPr>
          <w:rFonts w:cs="Calibri"/>
          <w:sz w:val="32"/>
          <w:szCs w:val="32"/>
        </w:rPr>
        <w:lastRenderedPageBreak/>
        <w:t>Oxon Hill Middle School</w:t>
      </w:r>
    </w:p>
    <w:tbl>
      <w:tblPr>
        <w:tblStyle w:val="TableGrid3"/>
        <w:tblW w:w="13158" w:type="dxa"/>
        <w:tblLook w:val="04A0" w:firstRow="1" w:lastRow="0" w:firstColumn="1" w:lastColumn="0" w:noHBand="0" w:noVBand="1"/>
      </w:tblPr>
      <w:tblGrid>
        <w:gridCol w:w="3366"/>
        <w:gridCol w:w="4662"/>
        <w:gridCol w:w="5130"/>
      </w:tblGrid>
      <w:tr w:rsidR="005F305F" w:rsidRPr="005F305F" w:rsidTr="005F305F">
        <w:tc>
          <w:tcPr>
            <w:tcW w:w="3366" w:type="dxa"/>
          </w:tcPr>
          <w:p w:rsidR="005F305F" w:rsidRPr="005F305F" w:rsidRDefault="005F305F" w:rsidP="005F305F">
            <w:pPr>
              <w:spacing w:after="0" w:line="240" w:lineRule="auto"/>
              <w:jc w:val="center"/>
              <w:rPr>
                <w:b/>
              </w:rPr>
            </w:pPr>
            <w:r w:rsidRPr="005F305F">
              <w:rPr>
                <w:b/>
              </w:rPr>
              <w:t>Activities</w:t>
            </w:r>
          </w:p>
        </w:tc>
        <w:tc>
          <w:tcPr>
            <w:tcW w:w="4662" w:type="dxa"/>
          </w:tcPr>
          <w:p w:rsidR="005F305F" w:rsidRPr="005F305F" w:rsidRDefault="005F305F" w:rsidP="005F305F">
            <w:pPr>
              <w:spacing w:after="0" w:line="240" w:lineRule="auto"/>
              <w:jc w:val="center"/>
              <w:rPr>
                <w:b/>
              </w:rPr>
            </w:pPr>
            <w:r w:rsidRPr="005F305F">
              <w:rPr>
                <w:b/>
              </w:rPr>
              <w:t>How Activities Supported Teacher Growth</w:t>
            </w:r>
          </w:p>
        </w:tc>
        <w:tc>
          <w:tcPr>
            <w:tcW w:w="5130" w:type="dxa"/>
          </w:tcPr>
          <w:p w:rsidR="005F305F" w:rsidRPr="005F305F" w:rsidRDefault="005F305F" w:rsidP="005F305F">
            <w:pPr>
              <w:spacing w:after="0" w:line="240" w:lineRule="auto"/>
              <w:jc w:val="center"/>
              <w:rPr>
                <w:b/>
              </w:rPr>
            </w:pPr>
            <w:r w:rsidRPr="005F305F">
              <w:rPr>
                <w:b/>
              </w:rPr>
              <w:t>How Activities Supported Student Achievement</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Enrichment &amp; Remediation Modified Schedule for Response to Intervention (Planning and Logistics)</w:t>
            </w:r>
          </w:p>
        </w:tc>
        <w:tc>
          <w:tcPr>
            <w:tcW w:w="4662" w:type="dxa"/>
          </w:tcPr>
          <w:p w:rsidR="005F305F" w:rsidRPr="005F305F" w:rsidRDefault="005F305F" w:rsidP="005F305F">
            <w:pPr>
              <w:spacing w:after="0" w:line="240" w:lineRule="auto"/>
              <w:contextualSpacing/>
              <w:rPr>
                <w:rFonts w:cs="Calibri"/>
                <w:sz w:val="24"/>
                <w:szCs w:val="24"/>
              </w:rPr>
            </w:pPr>
            <w:r w:rsidRPr="005F305F">
              <w:rPr>
                <w:rFonts w:cs="Calibri"/>
                <w:sz w:val="24"/>
                <w:szCs w:val="24"/>
              </w:rPr>
              <w:t>The leadership devised a plan for incorporating RTI that forced teachers to engage with a variety of students to meet student needs in several subject areas. Teachers are forced to consider alternative strategies and expand their repertoire</w:t>
            </w:r>
          </w:p>
        </w:tc>
        <w:tc>
          <w:tcPr>
            <w:tcW w:w="5130" w:type="dxa"/>
          </w:tcPr>
          <w:p w:rsidR="005F305F" w:rsidRPr="005F305F" w:rsidRDefault="005F305F" w:rsidP="005F305F">
            <w:pPr>
              <w:spacing w:after="0" w:line="240" w:lineRule="auto"/>
              <w:contextualSpacing/>
              <w:rPr>
                <w:rFonts w:cs="Calibri"/>
                <w:sz w:val="24"/>
                <w:szCs w:val="24"/>
              </w:rPr>
            </w:pPr>
            <w:r w:rsidRPr="005F305F">
              <w:rPr>
                <w:rFonts w:cs="Calibri"/>
                <w:sz w:val="24"/>
                <w:szCs w:val="24"/>
              </w:rPr>
              <w:t>Through strengthening teacher skill, students are provided with instruction that  shifts teacher centered methods to student centered outcomes</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rPr>
                <w:sz w:val="24"/>
                <w:szCs w:val="24"/>
              </w:rPr>
            </w:pPr>
            <w:r w:rsidRPr="005F305F">
              <w:rPr>
                <w:sz w:val="24"/>
                <w:szCs w:val="24"/>
              </w:rPr>
              <w:t>Unpacking Mathematics State Curriculum Objectives</w:t>
            </w:r>
          </w:p>
        </w:tc>
        <w:tc>
          <w:tcPr>
            <w:tcW w:w="4662" w:type="dxa"/>
          </w:tcPr>
          <w:p w:rsidR="005F305F" w:rsidRPr="005F305F" w:rsidRDefault="005F305F" w:rsidP="005F305F">
            <w:pPr>
              <w:spacing w:after="0" w:line="240" w:lineRule="auto"/>
              <w:contextualSpacing/>
              <w:rPr>
                <w:sz w:val="24"/>
                <w:szCs w:val="24"/>
              </w:rPr>
            </w:pPr>
            <w:r w:rsidRPr="005F305F">
              <w:rPr>
                <w:sz w:val="24"/>
                <w:szCs w:val="24"/>
              </w:rPr>
              <w:t>The coach and the Turnaround Instructional Specialist supported the teachers in their understanding of the state curriculum objectives through scaffolding the requisite and prerequisite skills needed to address the demands of the state objectives</w:t>
            </w:r>
          </w:p>
        </w:tc>
        <w:tc>
          <w:tcPr>
            <w:tcW w:w="5130" w:type="dxa"/>
          </w:tcPr>
          <w:p w:rsidR="005F305F" w:rsidRPr="005F305F" w:rsidRDefault="005F305F" w:rsidP="005F305F">
            <w:pPr>
              <w:spacing w:after="0" w:line="240" w:lineRule="auto"/>
              <w:contextualSpacing/>
              <w:rPr>
                <w:sz w:val="24"/>
                <w:szCs w:val="24"/>
              </w:rPr>
            </w:pPr>
            <w:r w:rsidRPr="005F305F">
              <w:rPr>
                <w:sz w:val="24"/>
                <w:szCs w:val="24"/>
              </w:rPr>
              <w:t>The teachers’ understanding of the state objectives assist the students deep understanding of the mathematics content</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Development and Execution of Common Assessments</w:t>
            </w:r>
          </w:p>
        </w:tc>
        <w:tc>
          <w:tcPr>
            <w:tcW w:w="4662" w:type="dxa"/>
          </w:tcPr>
          <w:p w:rsidR="005F305F" w:rsidRPr="005F305F" w:rsidRDefault="005F305F" w:rsidP="005F305F">
            <w:pPr>
              <w:spacing w:after="0" w:line="240" w:lineRule="auto"/>
              <w:rPr>
                <w:rFonts w:cs="Calibri"/>
                <w:sz w:val="24"/>
                <w:szCs w:val="24"/>
              </w:rPr>
            </w:pPr>
            <w:r w:rsidRPr="005F305F">
              <w:rPr>
                <w:rFonts w:cs="Calibri"/>
                <w:sz w:val="24"/>
                <w:szCs w:val="24"/>
              </w:rPr>
              <w:t>Mathematics teachers creation of standards based test items improves their ability to back map instruction</w:t>
            </w:r>
          </w:p>
        </w:tc>
        <w:tc>
          <w:tcPr>
            <w:tcW w:w="5130" w:type="dxa"/>
          </w:tcPr>
          <w:p w:rsidR="005F305F" w:rsidRPr="005F305F" w:rsidRDefault="005F305F" w:rsidP="005F305F">
            <w:pPr>
              <w:spacing w:after="0" w:line="240" w:lineRule="auto"/>
              <w:rPr>
                <w:rFonts w:cs="Calibri"/>
                <w:sz w:val="24"/>
                <w:szCs w:val="24"/>
              </w:rPr>
            </w:pPr>
            <w:r w:rsidRPr="005F305F">
              <w:rPr>
                <w:rFonts w:cs="Calibri"/>
                <w:sz w:val="24"/>
                <w:szCs w:val="24"/>
              </w:rPr>
              <w:t>Students experienced greater success as teachers were able to focus instruction with a clear understanding of the outcome</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rPr>
                <w:sz w:val="24"/>
                <w:szCs w:val="24"/>
              </w:rPr>
            </w:pPr>
            <w:r w:rsidRPr="005F305F">
              <w:rPr>
                <w:sz w:val="24"/>
                <w:szCs w:val="24"/>
              </w:rPr>
              <w:t>Writing rich mathematical tasks</w:t>
            </w:r>
          </w:p>
        </w:tc>
        <w:tc>
          <w:tcPr>
            <w:tcW w:w="4662" w:type="dxa"/>
          </w:tcPr>
          <w:p w:rsidR="005F305F" w:rsidRPr="005F305F" w:rsidRDefault="005F305F" w:rsidP="005F305F">
            <w:pPr>
              <w:spacing w:after="0" w:line="240" w:lineRule="auto"/>
              <w:rPr>
                <w:sz w:val="24"/>
                <w:szCs w:val="24"/>
              </w:rPr>
            </w:pPr>
            <w:r w:rsidRPr="005F305F">
              <w:rPr>
                <w:sz w:val="24"/>
                <w:szCs w:val="24"/>
              </w:rPr>
              <w:t xml:space="preserve">The coach and the Turnaround Instructional Specialist supported the teachers in writing tasks that </w:t>
            </w:r>
            <w:r w:rsidRPr="005F305F">
              <w:rPr>
                <w:rFonts w:cs="Calibri"/>
                <w:sz w:val="24"/>
                <w:szCs w:val="24"/>
              </w:rPr>
              <w:t>different opportunities to meet the different needs of learners at different times</w:t>
            </w:r>
          </w:p>
        </w:tc>
        <w:tc>
          <w:tcPr>
            <w:tcW w:w="5130" w:type="dxa"/>
          </w:tcPr>
          <w:p w:rsidR="005F305F" w:rsidRPr="005F305F" w:rsidRDefault="005F305F" w:rsidP="005F305F">
            <w:pPr>
              <w:spacing w:after="0" w:line="240" w:lineRule="auto"/>
              <w:rPr>
                <w:rFonts w:cs="Calibri"/>
                <w:sz w:val="24"/>
                <w:szCs w:val="24"/>
              </w:rPr>
            </w:pPr>
            <w:r w:rsidRPr="005F305F">
              <w:rPr>
                <w:rFonts w:cs="Calibri"/>
                <w:sz w:val="24"/>
                <w:szCs w:val="24"/>
              </w:rPr>
              <w:t>Rich tasks allow students to construct their own knowledge of math concepts and assist in their deep understanding of mathematics.</w:t>
            </w:r>
          </w:p>
        </w:tc>
      </w:tr>
      <w:tr w:rsidR="005F305F" w:rsidRPr="005F305F" w:rsidTr="005F305F">
        <w:tc>
          <w:tcPr>
            <w:tcW w:w="13158" w:type="dxa"/>
            <w:gridSpan w:val="3"/>
          </w:tcPr>
          <w:p w:rsidR="005F305F" w:rsidRPr="005F305F" w:rsidRDefault="005F305F" w:rsidP="005F305F">
            <w:pPr>
              <w:spacing w:after="0" w:line="240" w:lineRule="auto"/>
            </w:pPr>
            <w:r w:rsidRPr="005F305F">
              <w:t>Next Steps:</w:t>
            </w:r>
          </w:p>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Provide professional development which includes the support and questioning that is used by the teacher and the roles that learners are encouraged to adopt while engaging in a rich task, analyzing and adjusting mathematical tasks</w:t>
            </w:r>
          </w:p>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Continue the efforts the RTI. This is not being tried systematically in any other building. The efforts will translate to meeting the demands of common core.</w:t>
            </w:r>
          </w:p>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Maintain and extend use of common assessments to drive the instruction and focus for pacing and what objectives should be taught for a longer period of time or shortened period of time</w:t>
            </w:r>
          </w:p>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Analyze the data gleaned from the common assessments and use the data to inform the teachers’ instructional practice</w:t>
            </w:r>
          </w:p>
        </w:tc>
      </w:tr>
    </w:tbl>
    <w:p w:rsidR="005F305F" w:rsidRDefault="005F305F" w:rsidP="005F305F">
      <w:pPr>
        <w:rPr>
          <w:rFonts w:cs="Calibri"/>
          <w:sz w:val="32"/>
          <w:szCs w:val="32"/>
        </w:rPr>
      </w:pPr>
    </w:p>
    <w:p w:rsidR="005F305F" w:rsidRPr="005F305F" w:rsidRDefault="005F305F" w:rsidP="005F305F">
      <w:pPr>
        <w:rPr>
          <w:rFonts w:cs="Calibri"/>
          <w:sz w:val="32"/>
          <w:szCs w:val="32"/>
        </w:rPr>
      </w:pPr>
    </w:p>
    <w:p w:rsidR="005F305F" w:rsidRPr="005F305F" w:rsidRDefault="005F305F" w:rsidP="005F305F">
      <w:pPr>
        <w:rPr>
          <w:rFonts w:cs="Calibri"/>
          <w:sz w:val="32"/>
          <w:szCs w:val="32"/>
        </w:rPr>
      </w:pPr>
      <w:r w:rsidRPr="005F305F">
        <w:rPr>
          <w:rFonts w:cs="Calibri"/>
          <w:sz w:val="32"/>
          <w:szCs w:val="32"/>
        </w:rPr>
        <w:lastRenderedPageBreak/>
        <w:t>Thomas Johnson Middle School</w:t>
      </w:r>
    </w:p>
    <w:tbl>
      <w:tblPr>
        <w:tblStyle w:val="TableGrid3"/>
        <w:tblW w:w="13158" w:type="dxa"/>
        <w:tblLook w:val="04A0" w:firstRow="1" w:lastRow="0" w:firstColumn="1" w:lastColumn="0" w:noHBand="0" w:noVBand="1"/>
      </w:tblPr>
      <w:tblGrid>
        <w:gridCol w:w="3366"/>
        <w:gridCol w:w="4752"/>
        <w:gridCol w:w="5040"/>
      </w:tblGrid>
      <w:tr w:rsidR="005F305F" w:rsidRPr="005F305F" w:rsidTr="005F305F">
        <w:tc>
          <w:tcPr>
            <w:tcW w:w="3366" w:type="dxa"/>
          </w:tcPr>
          <w:p w:rsidR="005F305F" w:rsidRPr="005F305F" w:rsidRDefault="005F305F" w:rsidP="005F305F">
            <w:pPr>
              <w:spacing w:after="0" w:line="240" w:lineRule="auto"/>
              <w:jc w:val="center"/>
              <w:rPr>
                <w:b/>
              </w:rPr>
            </w:pPr>
            <w:r w:rsidRPr="005F305F">
              <w:rPr>
                <w:b/>
              </w:rPr>
              <w:t>Activities</w:t>
            </w:r>
          </w:p>
        </w:tc>
        <w:tc>
          <w:tcPr>
            <w:tcW w:w="4752" w:type="dxa"/>
          </w:tcPr>
          <w:p w:rsidR="005F305F" w:rsidRPr="005F305F" w:rsidRDefault="005F305F" w:rsidP="005F305F">
            <w:pPr>
              <w:spacing w:after="0" w:line="240" w:lineRule="auto"/>
              <w:jc w:val="center"/>
              <w:rPr>
                <w:b/>
              </w:rPr>
            </w:pPr>
            <w:r w:rsidRPr="005F305F">
              <w:rPr>
                <w:b/>
              </w:rPr>
              <w:t>How Activities Supported Teacher Growth</w:t>
            </w:r>
          </w:p>
        </w:tc>
        <w:tc>
          <w:tcPr>
            <w:tcW w:w="5040" w:type="dxa"/>
          </w:tcPr>
          <w:p w:rsidR="005F305F" w:rsidRPr="005F305F" w:rsidRDefault="005F305F" w:rsidP="005F305F">
            <w:pPr>
              <w:spacing w:after="0" w:line="240" w:lineRule="auto"/>
              <w:jc w:val="center"/>
              <w:rPr>
                <w:b/>
              </w:rPr>
            </w:pPr>
            <w:r w:rsidRPr="005F305F">
              <w:rPr>
                <w:b/>
              </w:rPr>
              <w:t>How Activities Supported Student Achievement</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rPr>
                <w:sz w:val="24"/>
                <w:szCs w:val="24"/>
              </w:rPr>
            </w:pPr>
            <w:r w:rsidRPr="005F305F">
              <w:rPr>
                <w:sz w:val="24"/>
                <w:szCs w:val="24"/>
              </w:rPr>
              <w:t>Examining student work</w:t>
            </w:r>
          </w:p>
        </w:tc>
        <w:tc>
          <w:tcPr>
            <w:tcW w:w="4752" w:type="dxa"/>
          </w:tcPr>
          <w:p w:rsidR="005F305F" w:rsidRPr="005F305F" w:rsidRDefault="005F305F" w:rsidP="005F305F">
            <w:pPr>
              <w:spacing w:after="0" w:line="240" w:lineRule="auto"/>
              <w:rPr>
                <w:sz w:val="24"/>
                <w:szCs w:val="24"/>
              </w:rPr>
            </w:pPr>
            <w:r w:rsidRPr="005F305F">
              <w:rPr>
                <w:sz w:val="24"/>
                <w:szCs w:val="24"/>
              </w:rPr>
              <w:t>T</w:t>
            </w:r>
            <w:r w:rsidRPr="005F305F">
              <w:rPr>
                <w:rFonts w:cs="Calibri"/>
                <w:color w:val="000000"/>
                <w:sz w:val="24"/>
                <w:szCs w:val="24"/>
              </w:rPr>
              <w:t>eachers become more reflective about their practice as they look for progress in student work and are able to adjust and differentiate instruction</w:t>
            </w:r>
          </w:p>
        </w:tc>
        <w:tc>
          <w:tcPr>
            <w:tcW w:w="5040" w:type="dxa"/>
          </w:tcPr>
          <w:p w:rsidR="005F305F" w:rsidRPr="005F305F" w:rsidRDefault="005F305F" w:rsidP="005F305F">
            <w:pPr>
              <w:spacing w:after="0" w:line="240" w:lineRule="auto"/>
              <w:rPr>
                <w:sz w:val="24"/>
                <w:szCs w:val="24"/>
              </w:rPr>
            </w:pPr>
            <w:r w:rsidRPr="005F305F">
              <w:rPr>
                <w:rFonts w:cs="Calibri"/>
                <w:sz w:val="24"/>
                <w:szCs w:val="24"/>
              </w:rPr>
              <w:t>The result of focused instruction is increased time on task and student work that reflects improves teaching and learning as reflected in student work samples</w:t>
            </w:r>
          </w:p>
        </w:tc>
      </w:tr>
      <w:tr w:rsidR="005F305F" w:rsidRPr="005F305F" w:rsidTr="005F305F">
        <w:trPr>
          <w:trHeight w:val="214"/>
        </w:trPr>
        <w:tc>
          <w:tcPr>
            <w:tcW w:w="3366" w:type="dxa"/>
          </w:tcPr>
          <w:p w:rsidR="005F305F" w:rsidRPr="005F305F" w:rsidRDefault="005F305F" w:rsidP="005F305F">
            <w:pPr>
              <w:numPr>
                <w:ilvl w:val="0"/>
                <w:numId w:val="30"/>
              </w:numPr>
              <w:spacing w:after="0" w:line="240" w:lineRule="auto"/>
              <w:contextualSpacing/>
              <w:rPr>
                <w:rFonts w:cs="Calibri"/>
                <w:sz w:val="24"/>
                <w:szCs w:val="24"/>
              </w:rPr>
            </w:pPr>
            <w:r w:rsidRPr="005F305F">
              <w:rPr>
                <w:rFonts w:cs="Calibri"/>
                <w:sz w:val="24"/>
                <w:szCs w:val="24"/>
              </w:rPr>
              <w:t>Analyzing Mathematical Tasks</w:t>
            </w:r>
          </w:p>
        </w:tc>
        <w:tc>
          <w:tcPr>
            <w:tcW w:w="4752" w:type="dxa"/>
          </w:tcPr>
          <w:tbl>
            <w:tblPr>
              <w:tblW w:w="0" w:type="auto"/>
              <w:tblBorders>
                <w:top w:val="nil"/>
                <w:left w:val="nil"/>
                <w:bottom w:val="nil"/>
                <w:right w:val="nil"/>
              </w:tblBorders>
              <w:tblLook w:val="0000" w:firstRow="0" w:lastRow="0" w:firstColumn="0" w:lastColumn="0" w:noHBand="0" w:noVBand="0"/>
            </w:tblPr>
            <w:tblGrid>
              <w:gridCol w:w="4536"/>
            </w:tblGrid>
            <w:tr w:rsidR="005F305F" w:rsidRPr="005F305F" w:rsidTr="000912B4">
              <w:trPr>
                <w:trHeight w:val="399"/>
              </w:trPr>
              <w:tc>
                <w:tcPr>
                  <w:tcW w:w="0" w:type="auto"/>
                </w:tcPr>
                <w:p w:rsidR="005F305F" w:rsidRPr="005F305F" w:rsidRDefault="005F305F" w:rsidP="005F305F">
                  <w:pPr>
                    <w:autoSpaceDE w:val="0"/>
                    <w:autoSpaceDN w:val="0"/>
                    <w:adjustRightInd w:val="0"/>
                    <w:spacing w:after="0" w:line="240" w:lineRule="auto"/>
                    <w:rPr>
                      <w:rFonts w:cs="Calibri"/>
                      <w:sz w:val="24"/>
                      <w:szCs w:val="24"/>
                    </w:rPr>
                  </w:pPr>
                  <w:r w:rsidRPr="005F305F">
                    <w:rPr>
                      <w:rFonts w:cs="Calibri"/>
                      <w:color w:val="000000"/>
                      <w:sz w:val="24"/>
                      <w:szCs w:val="24"/>
                    </w:rPr>
                    <w:t xml:space="preserve">Teachers analyze tasks to determine if the students attention while engaged in the task is focused on the use of a procedure  or requires students to explore and understand the nature of math concepts, processes, or relationships </w:t>
                  </w:r>
                </w:p>
              </w:tc>
            </w:tr>
          </w:tbl>
          <w:p w:rsidR="005F305F" w:rsidRPr="005F305F" w:rsidRDefault="005F305F" w:rsidP="005F305F">
            <w:pPr>
              <w:autoSpaceDE w:val="0"/>
              <w:autoSpaceDN w:val="0"/>
              <w:adjustRightInd w:val="0"/>
              <w:spacing w:after="0" w:line="240" w:lineRule="auto"/>
              <w:rPr>
                <w:rFonts w:cs="Calibri"/>
                <w:color w:val="000000"/>
                <w:sz w:val="24"/>
                <w:szCs w:val="24"/>
              </w:rPr>
            </w:pPr>
          </w:p>
        </w:tc>
        <w:tc>
          <w:tcPr>
            <w:tcW w:w="5040" w:type="dxa"/>
          </w:tcPr>
          <w:p w:rsidR="005F305F" w:rsidRPr="005F305F" w:rsidRDefault="005F305F" w:rsidP="005F305F">
            <w:pPr>
              <w:spacing w:after="0" w:line="240" w:lineRule="auto"/>
              <w:rPr>
                <w:rFonts w:cs="Calibri"/>
                <w:sz w:val="24"/>
                <w:szCs w:val="24"/>
              </w:rPr>
            </w:pPr>
            <w:r w:rsidRPr="005F305F">
              <w:rPr>
                <w:rFonts w:cs="Calibri"/>
                <w:sz w:val="24"/>
                <w:szCs w:val="24"/>
              </w:rPr>
              <w:t>Students engagement in tasks that require exploration of math concepts leads to conceptual and deep understanding of mathematics</w:t>
            </w:r>
          </w:p>
        </w:tc>
      </w:tr>
      <w:tr w:rsidR="005F305F" w:rsidRPr="005F305F" w:rsidTr="005F305F">
        <w:tc>
          <w:tcPr>
            <w:tcW w:w="13158" w:type="dxa"/>
            <w:gridSpan w:val="3"/>
          </w:tcPr>
          <w:p w:rsidR="005F305F" w:rsidRPr="005F305F" w:rsidRDefault="005F305F" w:rsidP="005F305F">
            <w:pPr>
              <w:spacing w:after="0" w:line="240" w:lineRule="auto"/>
              <w:rPr>
                <w:sz w:val="24"/>
                <w:szCs w:val="24"/>
              </w:rPr>
            </w:pPr>
            <w:r w:rsidRPr="005F305F">
              <w:rPr>
                <w:sz w:val="24"/>
                <w:szCs w:val="24"/>
              </w:rPr>
              <w:t>Next Steps:</w:t>
            </w:r>
          </w:p>
          <w:p w:rsidR="005F305F" w:rsidRPr="005F305F" w:rsidRDefault="005F305F" w:rsidP="005F305F">
            <w:pPr>
              <w:numPr>
                <w:ilvl w:val="0"/>
                <w:numId w:val="30"/>
              </w:numPr>
              <w:spacing w:after="0" w:line="240" w:lineRule="auto"/>
              <w:contextualSpacing/>
              <w:rPr>
                <w:sz w:val="24"/>
                <w:szCs w:val="24"/>
              </w:rPr>
            </w:pPr>
            <w:r w:rsidRPr="005F305F">
              <w:rPr>
                <w:sz w:val="24"/>
                <w:szCs w:val="24"/>
              </w:rPr>
              <w:t>Professional development sessions for the teachers that e</w:t>
            </w:r>
            <w:r w:rsidRPr="005F305F">
              <w:rPr>
                <w:rFonts w:cs="Calibri"/>
                <w:sz w:val="24"/>
                <w:szCs w:val="24"/>
              </w:rPr>
              <w:t>xplore nature of mathematical concepts, processes or relationships through the use of models, manipulatives, and representations</w:t>
            </w:r>
          </w:p>
          <w:p w:rsidR="005F305F" w:rsidRPr="005F305F" w:rsidRDefault="005F305F" w:rsidP="005F305F">
            <w:pPr>
              <w:numPr>
                <w:ilvl w:val="0"/>
                <w:numId w:val="30"/>
              </w:numPr>
              <w:spacing w:after="0" w:line="240" w:lineRule="auto"/>
              <w:contextualSpacing/>
              <w:rPr>
                <w:sz w:val="24"/>
                <w:szCs w:val="24"/>
              </w:rPr>
            </w:pPr>
            <w:r w:rsidRPr="005F305F">
              <w:rPr>
                <w:sz w:val="24"/>
                <w:szCs w:val="24"/>
              </w:rPr>
              <w:t>Utilize texts and articles that support the teachers’ deep  understanding of the content</w:t>
            </w:r>
          </w:p>
          <w:p w:rsidR="005F305F" w:rsidRPr="005F305F" w:rsidRDefault="005F305F" w:rsidP="005F305F">
            <w:pPr>
              <w:numPr>
                <w:ilvl w:val="0"/>
                <w:numId w:val="30"/>
              </w:numPr>
              <w:spacing w:after="0" w:line="240" w:lineRule="auto"/>
              <w:contextualSpacing/>
              <w:rPr>
                <w:sz w:val="24"/>
                <w:szCs w:val="24"/>
              </w:rPr>
            </w:pPr>
            <w:r w:rsidRPr="005F305F">
              <w:rPr>
                <w:rFonts w:cs="Calibri"/>
                <w:sz w:val="24"/>
                <w:szCs w:val="24"/>
              </w:rPr>
              <w:t>Development and utilize common assessments that inform instruction and student learning</w:t>
            </w:r>
          </w:p>
          <w:p w:rsidR="005F305F" w:rsidRPr="005F305F" w:rsidRDefault="005F305F" w:rsidP="005F305F">
            <w:pPr>
              <w:numPr>
                <w:ilvl w:val="0"/>
                <w:numId w:val="30"/>
              </w:numPr>
              <w:spacing w:after="0" w:line="240" w:lineRule="auto"/>
              <w:contextualSpacing/>
              <w:rPr>
                <w:sz w:val="24"/>
                <w:szCs w:val="24"/>
              </w:rPr>
            </w:pPr>
            <w:r w:rsidRPr="005F305F">
              <w:rPr>
                <w:rFonts w:cs="Calibri"/>
                <w:sz w:val="24"/>
                <w:szCs w:val="24"/>
              </w:rPr>
              <w:t xml:space="preserve">Developing rich mathematical tasks that allow teachers to meet the needs of different learners at different times (open and parallel tasks) </w:t>
            </w:r>
          </w:p>
        </w:tc>
      </w:tr>
    </w:tbl>
    <w:p w:rsidR="005F305F" w:rsidRDefault="005F305F" w:rsidP="00545312">
      <w:pPr>
        <w:ind w:right="-450"/>
      </w:pPr>
    </w:p>
    <w:p w:rsidR="005F305F" w:rsidRDefault="005F305F" w:rsidP="00545312">
      <w:pPr>
        <w:ind w:right="-450"/>
      </w:pPr>
    </w:p>
    <w:p w:rsidR="005F305F" w:rsidRDefault="005F305F" w:rsidP="00545312">
      <w:pPr>
        <w:ind w:right="-450"/>
      </w:pPr>
    </w:p>
    <w:p w:rsidR="005F305F" w:rsidRDefault="005F305F" w:rsidP="00545312">
      <w:pPr>
        <w:ind w:right="-450"/>
      </w:pPr>
    </w:p>
    <w:p w:rsidR="005F305F" w:rsidRDefault="005F305F" w:rsidP="00545312">
      <w:pPr>
        <w:ind w:right="-450"/>
      </w:pPr>
    </w:p>
    <w:p w:rsidR="005F305F" w:rsidRDefault="005F305F" w:rsidP="00545312">
      <w:pPr>
        <w:ind w:right="-450"/>
      </w:pPr>
    </w:p>
    <w:p w:rsidR="005F305F" w:rsidRDefault="005F305F" w:rsidP="00545312">
      <w:pPr>
        <w:ind w:right="-450"/>
      </w:pPr>
    </w:p>
    <w:p w:rsidR="005F305F" w:rsidRDefault="005F305F" w:rsidP="00545312">
      <w:pPr>
        <w:ind w:right="-450"/>
      </w:pPr>
    </w:p>
    <w:p w:rsidR="005F305F" w:rsidRDefault="005F305F" w:rsidP="00545312">
      <w:pPr>
        <w:ind w:right="-450"/>
      </w:pPr>
    </w:p>
    <w:p w:rsidR="0005496B" w:rsidRPr="00545312" w:rsidRDefault="0005496B" w:rsidP="00545312">
      <w:pPr>
        <w:ind w:right="-450"/>
      </w:pPr>
      <w:r w:rsidRPr="009C3DFC">
        <w:rPr>
          <w:rFonts w:ascii="Times New Roman" w:hAnsi="Times New Roman"/>
          <w:b/>
          <w:sz w:val="24"/>
          <w:szCs w:val="24"/>
          <w:u w:val="single"/>
        </w:rPr>
        <w:lastRenderedPageBreak/>
        <w:t>III B.  Attendance</w:t>
      </w:r>
    </w:p>
    <w:p w:rsidR="0005496B" w:rsidRPr="00F75102" w:rsidRDefault="0005496B" w:rsidP="007D1A50">
      <w:pPr>
        <w:spacing w:after="0" w:line="240" w:lineRule="auto"/>
        <w:ind w:firstLine="720"/>
        <w:rPr>
          <w:rFonts w:ascii="Times New Roman" w:hAnsi="Times New Roman"/>
          <w:b/>
          <w:sz w:val="24"/>
          <w:szCs w:val="24"/>
        </w:rPr>
      </w:pPr>
      <w:r w:rsidRPr="00F75102">
        <w:rPr>
          <w:rFonts w:ascii="Times New Roman" w:hAnsi="Times New Roman"/>
          <w:b/>
          <w:sz w:val="24"/>
          <w:szCs w:val="24"/>
        </w:rPr>
        <w:t>This table shows the Overall Atten</w:t>
      </w:r>
      <w:r w:rsidR="00673F45">
        <w:rPr>
          <w:rFonts w:ascii="Times New Roman" w:hAnsi="Times New Roman"/>
          <w:b/>
          <w:sz w:val="24"/>
          <w:szCs w:val="24"/>
        </w:rPr>
        <w:t xml:space="preserve">dance Percentages from the 2009 </w:t>
      </w:r>
      <w:r w:rsidRPr="00F75102">
        <w:rPr>
          <w:rFonts w:ascii="Times New Roman" w:hAnsi="Times New Roman"/>
          <w:b/>
          <w:sz w:val="24"/>
          <w:szCs w:val="24"/>
        </w:rPr>
        <w:t>School</w:t>
      </w:r>
      <w:r w:rsidR="00673F45">
        <w:rPr>
          <w:rFonts w:ascii="Times New Roman" w:hAnsi="Times New Roman"/>
          <w:b/>
          <w:sz w:val="24"/>
          <w:szCs w:val="24"/>
        </w:rPr>
        <w:t xml:space="preserve"> Year to Date for the 2011-2012</w:t>
      </w:r>
      <w:r w:rsidRPr="00F75102">
        <w:rPr>
          <w:rFonts w:ascii="Times New Roman" w:hAnsi="Times New Roman"/>
          <w:b/>
          <w:sz w:val="24"/>
          <w:szCs w:val="24"/>
        </w:rPr>
        <w:t xml:space="preserve"> School Year.</w:t>
      </w:r>
    </w:p>
    <w:p w:rsidR="0005496B" w:rsidRPr="00F75102" w:rsidRDefault="0005496B" w:rsidP="00913214">
      <w:pPr>
        <w:spacing w:after="0" w:line="240" w:lineRule="auto"/>
        <w:jc w:val="center"/>
        <w:rPr>
          <w:rFonts w:ascii="Times New Roman" w:hAnsi="Times New Roman"/>
          <w:b/>
          <w:sz w:val="24"/>
          <w:szCs w:val="24"/>
        </w:rPr>
      </w:pPr>
    </w:p>
    <w:p w:rsidR="0005496B" w:rsidRPr="00F75102" w:rsidRDefault="0005496B" w:rsidP="007D1A50">
      <w:pPr>
        <w:spacing w:after="0" w:line="240" w:lineRule="auto"/>
        <w:ind w:firstLine="720"/>
        <w:rPr>
          <w:rFonts w:ascii="Times New Roman" w:hAnsi="Times New Roman"/>
          <w:i/>
          <w:sz w:val="24"/>
          <w:szCs w:val="24"/>
        </w:rPr>
      </w:pPr>
      <w:r w:rsidRPr="00F75102">
        <w:rPr>
          <w:rFonts w:ascii="Times New Roman" w:hAnsi="Times New Roman"/>
          <w:i/>
          <w:sz w:val="24"/>
          <w:szCs w:val="24"/>
        </w:rPr>
        <w:t>S</w:t>
      </w:r>
      <w:r>
        <w:rPr>
          <w:rFonts w:ascii="Times New Roman" w:hAnsi="Times New Roman"/>
          <w:i/>
          <w:sz w:val="24"/>
          <w:szCs w:val="24"/>
        </w:rPr>
        <w:t xml:space="preserve">ource: </w:t>
      </w:r>
      <w:hyperlink r:id="rId17" w:history="1">
        <w:r w:rsidRPr="0024227F">
          <w:rPr>
            <w:rStyle w:val="Hyperlink"/>
            <w:rFonts w:ascii="Times New Roman" w:hAnsi="Times New Roman"/>
            <w:i/>
            <w:sz w:val="24"/>
            <w:szCs w:val="24"/>
          </w:rPr>
          <w:t>www.mdreportcard.org</w:t>
        </w:r>
      </w:hyperlink>
      <w:r w:rsidR="004F3470">
        <w:rPr>
          <w:rFonts w:ascii="Times New Roman" w:hAnsi="Times New Roman"/>
          <w:i/>
          <w:sz w:val="24"/>
          <w:szCs w:val="24"/>
        </w:rPr>
        <w:t xml:space="preserve"> and PGCPS’ Data Warehouse</w:t>
      </w:r>
    </w:p>
    <w:p w:rsidR="0005496B" w:rsidRPr="00496D47" w:rsidRDefault="0005496B" w:rsidP="000E1C76">
      <w:pPr>
        <w:spacing w:after="0" w:line="240" w:lineRule="auto"/>
        <w:rPr>
          <w:rFonts w:ascii="Times New Roman" w:hAnsi="Times New Roman"/>
          <w:b/>
          <w:i/>
        </w:rPr>
      </w:pPr>
    </w:p>
    <w:p w:rsidR="0005496B" w:rsidRPr="00EC4545" w:rsidRDefault="0005496B" w:rsidP="000E1C76">
      <w:pPr>
        <w:spacing w:after="0" w:line="240" w:lineRule="auto"/>
        <w:rPr>
          <w:rFonts w:ascii="Times New Roman" w:hAnsi="Times New Roman"/>
          <w:i/>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989"/>
        <w:gridCol w:w="1079"/>
        <w:gridCol w:w="1079"/>
        <w:gridCol w:w="1747"/>
        <w:gridCol w:w="1618"/>
        <w:gridCol w:w="1618"/>
      </w:tblGrid>
      <w:tr w:rsidR="000912B4" w:rsidRPr="007B196E" w:rsidTr="00D024CE">
        <w:tc>
          <w:tcPr>
            <w:tcW w:w="4300" w:type="dxa"/>
            <w:vMerge w:val="restart"/>
          </w:tcPr>
          <w:p w:rsidR="000912B4" w:rsidRPr="007B196E" w:rsidRDefault="000912B4" w:rsidP="007B196E">
            <w:pPr>
              <w:spacing w:after="0" w:line="240" w:lineRule="auto"/>
              <w:jc w:val="center"/>
              <w:rPr>
                <w:rFonts w:ascii="Times New Roman" w:hAnsi="Times New Roman"/>
                <w:b/>
                <w:sz w:val="28"/>
                <w:szCs w:val="28"/>
              </w:rPr>
            </w:pPr>
            <w:r w:rsidRPr="007B196E">
              <w:rPr>
                <w:rFonts w:ascii="Times New Roman" w:hAnsi="Times New Roman"/>
                <w:b/>
                <w:sz w:val="28"/>
                <w:szCs w:val="28"/>
              </w:rPr>
              <w:t>School</w:t>
            </w:r>
          </w:p>
          <w:p w:rsidR="000912B4" w:rsidRPr="007B196E" w:rsidRDefault="000912B4" w:rsidP="007B196E">
            <w:pPr>
              <w:spacing w:after="0" w:line="240" w:lineRule="auto"/>
              <w:jc w:val="center"/>
              <w:rPr>
                <w:rFonts w:ascii="Times New Roman" w:hAnsi="Times New Roman"/>
                <w:b/>
                <w:sz w:val="28"/>
                <w:szCs w:val="28"/>
              </w:rPr>
            </w:pPr>
          </w:p>
        </w:tc>
        <w:tc>
          <w:tcPr>
            <w:tcW w:w="989"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2009</w:t>
            </w:r>
          </w:p>
        </w:tc>
        <w:tc>
          <w:tcPr>
            <w:tcW w:w="1079"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2010</w:t>
            </w:r>
          </w:p>
        </w:tc>
        <w:tc>
          <w:tcPr>
            <w:tcW w:w="1079"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2011</w:t>
            </w:r>
          </w:p>
        </w:tc>
        <w:tc>
          <w:tcPr>
            <w:tcW w:w="1747"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2011-2012</w:t>
            </w:r>
          </w:p>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1</w:t>
            </w:r>
            <w:r w:rsidRPr="007B196E">
              <w:rPr>
                <w:rFonts w:ascii="Times New Roman" w:hAnsi="Times New Roman"/>
                <w:b/>
                <w:sz w:val="24"/>
                <w:szCs w:val="24"/>
                <w:vertAlign w:val="superscript"/>
              </w:rPr>
              <w:t>st</w:t>
            </w:r>
            <w:r w:rsidRPr="007B196E">
              <w:rPr>
                <w:rFonts w:ascii="Times New Roman" w:hAnsi="Times New Roman"/>
                <w:b/>
                <w:sz w:val="24"/>
                <w:szCs w:val="24"/>
              </w:rPr>
              <w:t xml:space="preserve"> Quarter</w:t>
            </w:r>
          </w:p>
        </w:tc>
        <w:tc>
          <w:tcPr>
            <w:tcW w:w="1618"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2011-2012</w:t>
            </w:r>
          </w:p>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2</w:t>
            </w:r>
            <w:r w:rsidRPr="007B196E">
              <w:rPr>
                <w:rFonts w:ascii="Times New Roman" w:hAnsi="Times New Roman"/>
                <w:b/>
                <w:sz w:val="24"/>
                <w:szCs w:val="24"/>
                <w:vertAlign w:val="superscript"/>
              </w:rPr>
              <w:t>nd</w:t>
            </w:r>
            <w:r w:rsidRPr="007B196E">
              <w:rPr>
                <w:rFonts w:ascii="Times New Roman" w:hAnsi="Times New Roman"/>
                <w:b/>
                <w:sz w:val="24"/>
                <w:szCs w:val="24"/>
              </w:rPr>
              <w:t xml:space="preserve"> Quarter</w:t>
            </w:r>
          </w:p>
        </w:tc>
        <w:tc>
          <w:tcPr>
            <w:tcW w:w="1618" w:type="dxa"/>
          </w:tcPr>
          <w:p w:rsidR="000912B4"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2011-2012</w:t>
            </w:r>
          </w:p>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3</w:t>
            </w:r>
            <w:r w:rsidRPr="00723D26">
              <w:rPr>
                <w:rFonts w:ascii="Times New Roman" w:hAnsi="Times New Roman"/>
                <w:b/>
                <w:sz w:val="24"/>
                <w:szCs w:val="24"/>
                <w:vertAlign w:val="superscript"/>
              </w:rPr>
              <w:t>rd</w:t>
            </w:r>
            <w:r>
              <w:rPr>
                <w:rFonts w:ascii="Times New Roman" w:hAnsi="Times New Roman"/>
                <w:b/>
                <w:sz w:val="24"/>
                <w:szCs w:val="24"/>
              </w:rPr>
              <w:t xml:space="preserve"> Quarter</w:t>
            </w:r>
          </w:p>
        </w:tc>
      </w:tr>
      <w:tr w:rsidR="000912B4" w:rsidRPr="007B196E" w:rsidTr="00D024CE">
        <w:tc>
          <w:tcPr>
            <w:tcW w:w="4300" w:type="dxa"/>
            <w:vMerge/>
          </w:tcPr>
          <w:p w:rsidR="000912B4" w:rsidRPr="007B196E" w:rsidRDefault="000912B4" w:rsidP="007B196E">
            <w:pPr>
              <w:spacing w:after="0" w:line="240" w:lineRule="auto"/>
              <w:jc w:val="center"/>
              <w:rPr>
                <w:rFonts w:ascii="Times New Roman" w:hAnsi="Times New Roman"/>
                <w:b/>
                <w:sz w:val="24"/>
                <w:szCs w:val="24"/>
              </w:rPr>
            </w:pPr>
          </w:p>
        </w:tc>
        <w:tc>
          <w:tcPr>
            <w:tcW w:w="989" w:type="dxa"/>
          </w:tcPr>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w:t>
            </w:r>
          </w:p>
        </w:tc>
        <w:tc>
          <w:tcPr>
            <w:tcW w:w="1079" w:type="dxa"/>
          </w:tcPr>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w:t>
            </w:r>
          </w:p>
        </w:tc>
        <w:tc>
          <w:tcPr>
            <w:tcW w:w="1079" w:type="dxa"/>
          </w:tcPr>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w:t>
            </w:r>
          </w:p>
        </w:tc>
        <w:tc>
          <w:tcPr>
            <w:tcW w:w="1747" w:type="dxa"/>
          </w:tcPr>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w:t>
            </w:r>
          </w:p>
        </w:tc>
        <w:tc>
          <w:tcPr>
            <w:tcW w:w="1618" w:type="dxa"/>
          </w:tcPr>
          <w:p w:rsidR="000912B4" w:rsidRPr="007B196E" w:rsidRDefault="000912B4" w:rsidP="007B196E">
            <w:pPr>
              <w:spacing w:after="0" w:line="240" w:lineRule="auto"/>
              <w:jc w:val="center"/>
              <w:rPr>
                <w:rFonts w:ascii="Times New Roman" w:hAnsi="Times New Roman"/>
                <w:b/>
                <w:sz w:val="24"/>
                <w:szCs w:val="24"/>
              </w:rPr>
            </w:pPr>
            <w:r w:rsidRPr="007B196E">
              <w:rPr>
                <w:rFonts w:ascii="Times New Roman" w:hAnsi="Times New Roman"/>
                <w:b/>
                <w:sz w:val="24"/>
                <w:szCs w:val="24"/>
              </w:rPr>
              <w:t>%</w:t>
            </w:r>
          </w:p>
        </w:tc>
        <w:tc>
          <w:tcPr>
            <w:tcW w:w="1618"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w:t>
            </w:r>
          </w:p>
        </w:tc>
      </w:tr>
      <w:tr w:rsidR="000912B4" w:rsidRPr="007B196E" w:rsidTr="00D024CE">
        <w:tc>
          <w:tcPr>
            <w:tcW w:w="4300"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Oxon Hill Middle</w:t>
            </w:r>
          </w:p>
          <w:p w:rsidR="000912B4" w:rsidRPr="007B196E" w:rsidRDefault="000912B4" w:rsidP="007B196E">
            <w:pPr>
              <w:spacing w:after="0" w:line="240" w:lineRule="auto"/>
              <w:jc w:val="center"/>
              <w:rPr>
                <w:rFonts w:ascii="Times New Roman" w:hAnsi="Times New Roman"/>
                <w:b/>
                <w:sz w:val="24"/>
                <w:szCs w:val="24"/>
              </w:rPr>
            </w:pPr>
          </w:p>
          <w:p w:rsidR="000912B4" w:rsidRPr="007B196E" w:rsidRDefault="000912B4" w:rsidP="007B196E">
            <w:pPr>
              <w:spacing w:after="0" w:line="240" w:lineRule="auto"/>
              <w:jc w:val="center"/>
              <w:rPr>
                <w:rFonts w:ascii="Times New Roman" w:hAnsi="Times New Roman"/>
                <w:sz w:val="24"/>
                <w:szCs w:val="24"/>
              </w:rPr>
            </w:pPr>
          </w:p>
        </w:tc>
        <w:tc>
          <w:tcPr>
            <w:tcW w:w="989"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94.5</w:t>
            </w:r>
          </w:p>
        </w:tc>
        <w:tc>
          <w:tcPr>
            <w:tcW w:w="1079"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94</w:t>
            </w:r>
          </w:p>
        </w:tc>
        <w:tc>
          <w:tcPr>
            <w:tcW w:w="1079"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93.7</w:t>
            </w:r>
          </w:p>
        </w:tc>
        <w:tc>
          <w:tcPr>
            <w:tcW w:w="1747"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95.68</w:t>
            </w:r>
          </w:p>
        </w:tc>
        <w:tc>
          <w:tcPr>
            <w:tcW w:w="1618" w:type="dxa"/>
          </w:tcPr>
          <w:p w:rsidR="000912B4"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94.26</w:t>
            </w:r>
          </w:p>
          <w:p w:rsidR="000912B4" w:rsidRPr="007B196E" w:rsidRDefault="000912B4" w:rsidP="007B196E">
            <w:pPr>
              <w:spacing w:after="0" w:line="240" w:lineRule="auto"/>
              <w:jc w:val="center"/>
              <w:rPr>
                <w:rFonts w:ascii="Times New Roman" w:hAnsi="Times New Roman"/>
                <w:sz w:val="24"/>
                <w:szCs w:val="24"/>
              </w:rPr>
            </w:pPr>
          </w:p>
        </w:tc>
        <w:tc>
          <w:tcPr>
            <w:tcW w:w="1618" w:type="dxa"/>
          </w:tcPr>
          <w:p w:rsidR="000912B4"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94.41</w:t>
            </w:r>
          </w:p>
        </w:tc>
      </w:tr>
      <w:tr w:rsidR="000912B4" w:rsidRPr="007B196E" w:rsidTr="00D024CE">
        <w:tc>
          <w:tcPr>
            <w:tcW w:w="4300" w:type="dxa"/>
          </w:tcPr>
          <w:p w:rsidR="000912B4" w:rsidRPr="007B196E" w:rsidRDefault="000912B4" w:rsidP="007B196E">
            <w:pPr>
              <w:spacing w:after="0" w:line="240" w:lineRule="auto"/>
              <w:jc w:val="center"/>
              <w:rPr>
                <w:rFonts w:ascii="Times New Roman" w:hAnsi="Times New Roman"/>
                <w:b/>
                <w:sz w:val="24"/>
                <w:szCs w:val="24"/>
              </w:rPr>
            </w:pPr>
            <w:r>
              <w:rPr>
                <w:rFonts w:ascii="Times New Roman" w:hAnsi="Times New Roman"/>
                <w:b/>
                <w:sz w:val="24"/>
                <w:szCs w:val="24"/>
              </w:rPr>
              <w:t>Thomas Johnson Middle</w:t>
            </w:r>
          </w:p>
          <w:p w:rsidR="000912B4" w:rsidRPr="007B196E" w:rsidRDefault="000912B4" w:rsidP="007B196E">
            <w:pPr>
              <w:spacing w:after="0" w:line="240" w:lineRule="auto"/>
              <w:jc w:val="center"/>
              <w:rPr>
                <w:rFonts w:ascii="Times New Roman" w:hAnsi="Times New Roman"/>
                <w:sz w:val="24"/>
                <w:szCs w:val="24"/>
              </w:rPr>
            </w:pPr>
          </w:p>
        </w:tc>
        <w:tc>
          <w:tcPr>
            <w:tcW w:w="989"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95</w:t>
            </w:r>
          </w:p>
        </w:tc>
        <w:tc>
          <w:tcPr>
            <w:tcW w:w="1079"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95</w:t>
            </w:r>
          </w:p>
        </w:tc>
        <w:tc>
          <w:tcPr>
            <w:tcW w:w="1079"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95</w:t>
            </w:r>
          </w:p>
        </w:tc>
        <w:tc>
          <w:tcPr>
            <w:tcW w:w="1747"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96.74</w:t>
            </w:r>
          </w:p>
        </w:tc>
        <w:tc>
          <w:tcPr>
            <w:tcW w:w="1618" w:type="dxa"/>
          </w:tcPr>
          <w:p w:rsidR="000912B4" w:rsidRPr="007B196E"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96.07</w:t>
            </w:r>
          </w:p>
        </w:tc>
        <w:tc>
          <w:tcPr>
            <w:tcW w:w="1618" w:type="dxa"/>
          </w:tcPr>
          <w:p w:rsidR="000912B4" w:rsidRDefault="000912B4" w:rsidP="007B196E">
            <w:pPr>
              <w:spacing w:after="0" w:line="240" w:lineRule="auto"/>
              <w:jc w:val="center"/>
              <w:rPr>
                <w:rFonts w:ascii="Times New Roman" w:hAnsi="Times New Roman"/>
                <w:sz w:val="24"/>
                <w:szCs w:val="24"/>
              </w:rPr>
            </w:pPr>
            <w:r>
              <w:rPr>
                <w:rFonts w:ascii="Times New Roman" w:hAnsi="Times New Roman"/>
                <w:sz w:val="24"/>
                <w:szCs w:val="24"/>
              </w:rPr>
              <w:t>96.42</w:t>
            </w:r>
          </w:p>
        </w:tc>
      </w:tr>
    </w:tbl>
    <w:p w:rsidR="004F3470" w:rsidRDefault="004F3470" w:rsidP="00B820BD">
      <w:pPr>
        <w:rPr>
          <w:rFonts w:ascii="Times New Roman" w:hAnsi="Times New Roman"/>
        </w:rPr>
      </w:pPr>
    </w:p>
    <w:p w:rsidR="0005496B" w:rsidRPr="0097226C" w:rsidRDefault="0005496B" w:rsidP="00B820BD">
      <w:pPr>
        <w:rPr>
          <w:rFonts w:ascii="Times New Roman" w:hAnsi="Times New Roman"/>
          <w:b/>
          <w:sz w:val="24"/>
          <w:szCs w:val="24"/>
          <w:u w:val="single"/>
        </w:rPr>
      </w:pPr>
      <w:r>
        <w:rPr>
          <w:rFonts w:ascii="Times New Roman" w:hAnsi="Times New Roman"/>
          <w:b/>
          <w:sz w:val="24"/>
          <w:szCs w:val="24"/>
          <w:u w:val="single"/>
        </w:rPr>
        <w:t>III C</w:t>
      </w:r>
      <w:r w:rsidRPr="0097226C">
        <w:rPr>
          <w:rFonts w:ascii="Times New Roman" w:hAnsi="Times New Roman"/>
          <w:b/>
          <w:sz w:val="24"/>
          <w:szCs w:val="24"/>
          <w:u w:val="single"/>
        </w:rPr>
        <w:t>. Suspensions</w:t>
      </w:r>
    </w:p>
    <w:p w:rsidR="0005496B" w:rsidRPr="007919E0" w:rsidRDefault="0005496B" w:rsidP="007D1A50">
      <w:pPr>
        <w:spacing w:after="0" w:line="240" w:lineRule="auto"/>
        <w:ind w:firstLine="720"/>
        <w:rPr>
          <w:rFonts w:ascii="Times New Roman" w:hAnsi="Times New Roman"/>
          <w:b/>
          <w:sz w:val="24"/>
          <w:szCs w:val="24"/>
        </w:rPr>
      </w:pPr>
      <w:r>
        <w:rPr>
          <w:rFonts w:ascii="Times New Roman" w:hAnsi="Times New Roman"/>
          <w:b/>
          <w:sz w:val="24"/>
          <w:szCs w:val="24"/>
        </w:rPr>
        <w:t>This table shows the n</w:t>
      </w:r>
      <w:r w:rsidRPr="007919E0">
        <w:rPr>
          <w:rFonts w:ascii="Times New Roman" w:hAnsi="Times New Roman"/>
          <w:b/>
          <w:sz w:val="24"/>
          <w:szCs w:val="24"/>
        </w:rPr>
        <w:t xml:space="preserve">umber of Suspensions by School for </w:t>
      </w:r>
      <w:r>
        <w:rPr>
          <w:rFonts w:ascii="Times New Roman" w:hAnsi="Times New Roman"/>
          <w:b/>
          <w:sz w:val="24"/>
          <w:szCs w:val="24"/>
        </w:rPr>
        <w:t xml:space="preserve">the current </w:t>
      </w:r>
      <w:r w:rsidRPr="007919E0">
        <w:rPr>
          <w:rFonts w:ascii="Times New Roman" w:hAnsi="Times New Roman"/>
          <w:b/>
          <w:sz w:val="24"/>
          <w:szCs w:val="24"/>
        </w:rPr>
        <w:t>School Year 2010-11</w:t>
      </w:r>
      <w:r>
        <w:rPr>
          <w:rFonts w:ascii="Times New Roman" w:hAnsi="Times New Roman"/>
          <w:b/>
          <w:sz w:val="24"/>
          <w:szCs w:val="24"/>
        </w:rPr>
        <w:t>.</w:t>
      </w:r>
      <w:r w:rsidRPr="007919E0">
        <w:rPr>
          <w:rFonts w:ascii="Times New Roman" w:hAnsi="Times New Roman"/>
          <w:b/>
          <w:sz w:val="24"/>
          <w:szCs w:val="24"/>
        </w:rPr>
        <w:t xml:space="preserve"> </w:t>
      </w:r>
    </w:p>
    <w:p w:rsidR="0005496B" w:rsidRPr="00EC4545" w:rsidRDefault="0005496B" w:rsidP="00816CA0">
      <w:pPr>
        <w:spacing w:after="0" w:line="240" w:lineRule="auto"/>
        <w:rPr>
          <w:rFonts w:ascii="Times New Roman" w:hAnsi="Times New Roman"/>
          <w:u w:val="single"/>
        </w:rPr>
      </w:pPr>
    </w:p>
    <w:p w:rsidR="0005496B" w:rsidRPr="009C3DFC" w:rsidRDefault="0005496B" w:rsidP="00816CA0">
      <w:pPr>
        <w:spacing w:after="0" w:line="240" w:lineRule="auto"/>
        <w:rPr>
          <w:rFonts w:ascii="Times New Roman" w:hAnsi="Times New Roman"/>
          <w:i/>
          <w:sz w:val="24"/>
          <w:szCs w:val="24"/>
        </w:rPr>
      </w:pPr>
      <w:r w:rsidRPr="009C3DFC">
        <w:rPr>
          <w:rFonts w:ascii="Times New Roman" w:hAnsi="Times New Roman"/>
          <w:i/>
          <w:sz w:val="24"/>
          <w:szCs w:val="24"/>
        </w:rPr>
        <w:t xml:space="preserve">             Source: </w:t>
      </w:r>
      <w:r w:rsidR="004F3470">
        <w:rPr>
          <w:rFonts w:ascii="Times New Roman" w:hAnsi="Times New Roman"/>
          <w:i/>
          <w:sz w:val="24"/>
          <w:szCs w:val="24"/>
        </w:rPr>
        <w:t>PGCPS’ Data Warehouse</w:t>
      </w:r>
    </w:p>
    <w:p w:rsidR="0005496B" w:rsidRDefault="0005496B" w:rsidP="00816CA0">
      <w:pPr>
        <w:spacing w:after="0" w:line="240" w:lineRule="auto"/>
        <w:rPr>
          <w:rFonts w:ascii="Times New Roman" w:hAnsi="Times New Roman"/>
          <w:i/>
        </w:rPr>
      </w:pPr>
    </w:p>
    <w:p w:rsidR="0005496B" w:rsidRPr="00EC4545" w:rsidRDefault="0005496B" w:rsidP="00816CA0">
      <w:pPr>
        <w:spacing w:after="0" w:line="240" w:lineRule="auto"/>
        <w:rPr>
          <w:rFonts w:ascii="Times New Roman" w:hAnsi="Times New Roman"/>
          <w: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512"/>
        <w:gridCol w:w="1530"/>
        <w:gridCol w:w="270"/>
        <w:gridCol w:w="1548"/>
        <w:gridCol w:w="1440"/>
        <w:gridCol w:w="450"/>
        <w:gridCol w:w="1440"/>
        <w:gridCol w:w="1640"/>
      </w:tblGrid>
      <w:tr w:rsidR="00464DAF" w:rsidRPr="007B196E" w:rsidTr="00326CF7">
        <w:tc>
          <w:tcPr>
            <w:tcW w:w="3510" w:type="dxa"/>
          </w:tcPr>
          <w:p w:rsidR="00464DAF" w:rsidRPr="007B196E" w:rsidRDefault="00464DAF" w:rsidP="007B196E">
            <w:pPr>
              <w:spacing w:after="0" w:line="240" w:lineRule="auto"/>
              <w:jc w:val="center"/>
              <w:rPr>
                <w:rFonts w:ascii="Times New Roman" w:hAnsi="Times New Roman"/>
                <w:b/>
                <w:sz w:val="28"/>
                <w:szCs w:val="28"/>
              </w:rPr>
            </w:pPr>
            <w:r w:rsidRPr="007B196E">
              <w:rPr>
                <w:rFonts w:ascii="Times New Roman" w:hAnsi="Times New Roman"/>
                <w:b/>
                <w:sz w:val="28"/>
                <w:szCs w:val="28"/>
              </w:rPr>
              <w:t>School</w:t>
            </w:r>
          </w:p>
          <w:p w:rsidR="00464DAF" w:rsidRPr="007B196E" w:rsidRDefault="00464DAF" w:rsidP="007B196E">
            <w:pPr>
              <w:spacing w:after="0" w:line="240" w:lineRule="auto"/>
              <w:jc w:val="center"/>
              <w:rPr>
                <w:rFonts w:ascii="Times New Roman" w:hAnsi="Times New Roman"/>
                <w:b/>
                <w:sz w:val="24"/>
                <w:szCs w:val="24"/>
              </w:rPr>
            </w:pPr>
          </w:p>
        </w:tc>
        <w:tc>
          <w:tcPr>
            <w:tcW w:w="1512" w:type="dxa"/>
          </w:tcPr>
          <w:p w:rsidR="00464DAF" w:rsidRPr="007B196E" w:rsidRDefault="00673F45" w:rsidP="00673F45">
            <w:pPr>
              <w:spacing w:after="0" w:line="240" w:lineRule="auto"/>
              <w:jc w:val="center"/>
              <w:rPr>
                <w:rFonts w:ascii="Times New Roman" w:hAnsi="Times New Roman"/>
                <w:b/>
                <w:sz w:val="24"/>
                <w:szCs w:val="24"/>
              </w:rPr>
            </w:pPr>
            <w:r>
              <w:rPr>
                <w:rFonts w:ascii="Times New Roman" w:hAnsi="Times New Roman"/>
                <w:b/>
                <w:sz w:val="24"/>
                <w:szCs w:val="24"/>
              </w:rPr>
              <w:t xml:space="preserve">2010-2011 </w:t>
            </w:r>
            <w:r w:rsidR="00464DAF" w:rsidRPr="007B196E">
              <w:rPr>
                <w:rFonts w:ascii="Times New Roman" w:hAnsi="Times New Roman"/>
                <w:b/>
                <w:sz w:val="24"/>
                <w:szCs w:val="24"/>
              </w:rPr>
              <w:t>1</w:t>
            </w:r>
            <w:r w:rsidR="00464DAF" w:rsidRPr="007B196E">
              <w:rPr>
                <w:rFonts w:ascii="Times New Roman" w:hAnsi="Times New Roman"/>
                <w:b/>
                <w:sz w:val="24"/>
                <w:szCs w:val="24"/>
                <w:vertAlign w:val="superscript"/>
              </w:rPr>
              <w:t>st</w:t>
            </w:r>
            <w:r w:rsidR="00464DAF" w:rsidRPr="007B196E">
              <w:rPr>
                <w:rFonts w:ascii="Times New Roman" w:hAnsi="Times New Roman"/>
                <w:b/>
                <w:sz w:val="24"/>
                <w:szCs w:val="24"/>
              </w:rPr>
              <w:t xml:space="preserve"> Quarter</w:t>
            </w:r>
          </w:p>
        </w:tc>
        <w:tc>
          <w:tcPr>
            <w:tcW w:w="1530" w:type="dxa"/>
          </w:tcPr>
          <w:p w:rsidR="00464DAF" w:rsidRDefault="00673F45" w:rsidP="007B196E">
            <w:pPr>
              <w:spacing w:after="0" w:line="240" w:lineRule="auto"/>
              <w:jc w:val="center"/>
              <w:rPr>
                <w:rFonts w:ascii="Times New Roman" w:hAnsi="Times New Roman"/>
                <w:b/>
                <w:sz w:val="24"/>
                <w:szCs w:val="24"/>
              </w:rPr>
            </w:pPr>
            <w:r>
              <w:rPr>
                <w:rFonts w:ascii="Times New Roman" w:hAnsi="Times New Roman"/>
                <w:b/>
                <w:sz w:val="24"/>
                <w:szCs w:val="24"/>
              </w:rPr>
              <w:t>2011-2012</w:t>
            </w:r>
          </w:p>
          <w:p w:rsidR="00673F45" w:rsidRPr="007B196E" w:rsidRDefault="00673F45" w:rsidP="007B196E">
            <w:pPr>
              <w:spacing w:after="0" w:line="240" w:lineRule="auto"/>
              <w:jc w:val="center"/>
              <w:rPr>
                <w:rFonts w:ascii="Times New Roman" w:hAnsi="Times New Roman"/>
                <w:b/>
                <w:sz w:val="24"/>
                <w:szCs w:val="24"/>
              </w:rPr>
            </w:pPr>
            <w:r>
              <w:rPr>
                <w:rFonts w:ascii="Times New Roman" w:hAnsi="Times New Roman"/>
                <w:b/>
                <w:sz w:val="24"/>
                <w:szCs w:val="24"/>
              </w:rPr>
              <w:t>1</w:t>
            </w:r>
            <w:r w:rsidRPr="00673F45">
              <w:rPr>
                <w:rFonts w:ascii="Times New Roman" w:hAnsi="Times New Roman"/>
                <w:b/>
                <w:sz w:val="24"/>
                <w:szCs w:val="24"/>
                <w:vertAlign w:val="superscript"/>
              </w:rPr>
              <w:t>st</w:t>
            </w:r>
            <w:r>
              <w:rPr>
                <w:rFonts w:ascii="Times New Roman" w:hAnsi="Times New Roman"/>
                <w:b/>
                <w:sz w:val="24"/>
                <w:szCs w:val="24"/>
              </w:rPr>
              <w:t xml:space="preserve"> Quarter</w:t>
            </w:r>
          </w:p>
        </w:tc>
        <w:tc>
          <w:tcPr>
            <w:tcW w:w="270" w:type="dxa"/>
            <w:shd w:val="solid" w:color="auto" w:fill="auto"/>
          </w:tcPr>
          <w:p w:rsidR="00464DAF" w:rsidRPr="007B196E" w:rsidRDefault="00464DAF" w:rsidP="007B196E">
            <w:pPr>
              <w:spacing w:after="0" w:line="240" w:lineRule="auto"/>
              <w:jc w:val="center"/>
              <w:rPr>
                <w:rFonts w:ascii="Times New Roman" w:hAnsi="Times New Roman"/>
                <w:b/>
                <w:sz w:val="24"/>
                <w:szCs w:val="24"/>
              </w:rPr>
            </w:pPr>
          </w:p>
        </w:tc>
        <w:tc>
          <w:tcPr>
            <w:tcW w:w="1548" w:type="dxa"/>
          </w:tcPr>
          <w:p w:rsidR="00464DAF" w:rsidRPr="007B196E" w:rsidRDefault="00673F45" w:rsidP="007B196E">
            <w:pPr>
              <w:spacing w:after="0" w:line="240" w:lineRule="auto"/>
              <w:jc w:val="center"/>
              <w:rPr>
                <w:rFonts w:ascii="Times New Roman" w:hAnsi="Times New Roman"/>
                <w:b/>
                <w:sz w:val="24"/>
                <w:szCs w:val="24"/>
              </w:rPr>
            </w:pPr>
            <w:r>
              <w:rPr>
                <w:rFonts w:ascii="Times New Roman" w:hAnsi="Times New Roman"/>
                <w:b/>
                <w:sz w:val="24"/>
                <w:szCs w:val="24"/>
              </w:rPr>
              <w:t>2010-2011</w:t>
            </w:r>
          </w:p>
          <w:p w:rsidR="00464DAF" w:rsidRPr="007B196E" w:rsidRDefault="00326CF7" w:rsidP="00326CF7">
            <w:pPr>
              <w:spacing w:after="0" w:line="240" w:lineRule="auto"/>
              <w:rPr>
                <w:rFonts w:ascii="Times New Roman" w:hAnsi="Times New Roman"/>
                <w:b/>
                <w:sz w:val="24"/>
                <w:szCs w:val="24"/>
              </w:rPr>
            </w:pPr>
            <w:r>
              <w:rPr>
                <w:rFonts w:ascii="Times New Roman" w:hAnsi="Times New Roman"/>
                <w:b/>
                <w:sz w:val="24"/>
                <w:szCs w:val="24"/>
              </w:rPr>
              <w:t>2</w:t>
            </w:r>
            <w:r w:rsidRPr="00326CF7">
              <w:rPr>
                <w:rFonts w:ascii="Times New Roman" w:hAnsi="Times New Roman"/>
                <w:b/>
                <w:sz w:val="24"/>
                <w:szCs w:val="24"/>
                <w:vertAlign w:val="superscript"/>
              </w:rPr>
              <w:t>nd</w:t>
            </w:r>
            <w:r>
              <w:rPr>
                <w:rFonts w:ascii="Times New Roman" w:hAnsi="Times New Roman"/>
                <w:b/>
                <w:sz w:val="24"/>
                <w:szCs w:val="24"/>
              </w:rPr>
              <w:t xml:space="preserve"> </w:t>
            </w:r>
            <w:r w:rsidR="00464DAF" w:rsidRPr="007B196E">
              <w:rPr>
                <w:rFonts w:ascii="Times New Roman" w:hAnsi="Times New Roman"/>
                <w:b/>
                <w:sz w:val="24"/>
                <w:szCs w:val="24"/>
              </w:rPr>
              <w:t>Quarter</w:t>
            </w:r>
          </w:p>
        </w:tc>
        <w:tc>
          <w:tcPr>
            <w:tcW w:w="1440" w:type="dxa"/>
          </w:tcPr>
          <w:p w:rsidR="00673F45" w:rsidRDefault="00673F45" w:rsidP="00673F45">
            <w:pPr>
              <w:spacing w:after="0" w:line="240" w:lineRule="auto"/>
              <w:jc w:val="center"/>
              <w:rPr>
                <w:rFonts w:ascii="Times New Roman" w:hAnsi="Times New Roman"/>
                <w:b/>
                <w:sz w:val="24"/>
                <w:szCs w:val="24"/>
              </w:rPr>
            </w:pPr>
            <w:r>
              <w:rPr>
                <w:rFonts w:ascii="Times New Roman" w:hAnsi="Times New Roman"/>
                <w:b/>
                <w:sz w:val="24"/>
                <w:szCs w:val="24"/>
              </w:rPr>
              <w:t xml:space="preserve">2011-2012 </w:t>
            </w:r>
          </w:p>
          <w:p w:rsidR="00464DAF" w:rsidRPr="007B196E" w:rsidRDefault="00464DAF" w:rsidP="00673F45">
            <w:pPr>
              <w:spacing w:after="0" w:line="240" w:lineRule="auto"/>
              <w:jc w:val="center"/>
              <w:rPr>
                <w:rFonts w:ascii="Times New Roman" w:hAnsi="Times New Roman"/>
                <w:b/>
                <w:sz w:val="24"/>
                <w:szCs w:val="24"/>
              </w:rPr>
            </w:pPr>
            <w:r w:rsidRPr="007B196E">
              <w:rPr>
                <w:rFonts w:ascii="Times New Roman" w:hAnsi="Times New Roman"/>
                <w:b/>
                <w:sz w:val="24"/>
                <w:szCs w:val="24"/>
              </w:rPr>
              <w:t>2</w:t>
            </w:r>
            <w:r w:rsidRPr="007B196E">
              <w:rPr>
                <w:rFonts w:ascii="Times New Roman" w:hAnsi="Times New Roman"/>
                <w:b/>
                <w:sz w:val="24"/>
                <w:szCs w:val="24"/>
                <w:vertAlign w:val="superscript"/>
              </w:rPr>
              <w:t>nd</w:t>
            </w:r>
            <w:r w:rsidRPr="007B196E">
              <w:rPr>
                <w:rFonts w:ascii="Times New Roman" w:hAnsi="Times New Roman"/>
                <w:b/>
                <w:sz w:val="24"/>
                <w:szCs w:val="24"/>
              </w:rPr>
              <w:t xml:space="preserve"> Quarter</w:t>
            </w:r>
          </w:p>
        </w:tc>
        <w:tc>
          <w:tcPr>
            <w:tcW w:w="450" w:type="dxa"/>
            <w:shd w:val="clear" w:color="auto" w:fill="000000" w:themeFill="text1"/>
          </w:tcPr>
          <w:p w:rsidR="00464DAF" w:rsidRPr="00723D26" w:rsidRDefault="00464DAF" w:rsidP="007B196E">
            <w:pPr>
              <w:spacing w:after="0" w:line="240" w:lineRule="auto"/>
              <w:jc w:val="center"/>
              <w:rPr>
                <w:rFonts w:ascii="Times New Roman" w:hAnsi="Times New Roman"/>
                <w:b/>
                <w:sz w:val="24"/>
                <w:szCs w:val="24"/>
              </w:rPr>
            </w:pPr>
          </w:p>
        </w:tc>
        <w:tc>
          <w:tcPr>
            <w:tcW w:w="1440" w:type="dxa"/>
            <w:shd w:val="clear" w:color="auto" w:fill="FFFFFF" w:themeFill="background1"/>
          </w:tcPr>
          <w:p w:rsidR="00464DAF" w:rsidRDefault="00464DAF" w:rsidP="007B196E">
            <w:pPr>
              <w:spacing w:after="0" w:line="240" w:lineRule="auto"/>
              <w:jc w:val="center"/>
              <w:rPr>
                <w:rFonts w:ascii="Times New Roman" w:hAnsi="Times New Roman"/>
                <w:b/>
                <w:sz w:val="24"/>
                <w:szCs w:val="24"/>
              </w:rPr>
            </w:pPr>
            <w:r>
              <w:rPr>
                <w:rFonts w:ascii="Times New Roman" w:hAnsi="Times New Roman"/>
                <w:b/>
                <w:sz w:val="24"/>
                <w:szCs w:val="24"/>
              </w:rPr>
              <w:t>2010-2011</w:t>
            </w:r>
          </w:p>
          <w:p w:rsidR="00464DAF" w:rsidRDefault="00464DAF" w:rsidP="007B196E">
            <w:pPr>
              <w:spacing w:after="0" w:line="240" w:lineRule="auto"/>
              <w:jc w:val="center"/>
              <w:rPr>
                <w:rFonts w:ascii="Times New Roman" w:hAnsi="Times New Roman"/>
                <w:b/>
                <w:sz w:val="24"/>
                <w:szCs w:val="24"/>
              </w:rPr>
            </w:pPr>
            <w:r>
              <w:rPr>
                <w:rFonts w:ascii="Times New Roman" w:hAnsi="Times New Roman"/>
                <w:b/>
                <w:sz w:val="24"/>
                <w:szCs w:val="24"/>
              </w:rPr>
              <w:t>3</w:t>
            </w:r>
            <w:r w:rsidRPr="00723D26">
              <w:rPr>
                <w:rFonts w:ascii="Times New Roman" w:hAnsi="Times New Roman"/>
                <w:b/>
                <w:sz w:val="24"/>
                <w:szCs w:val="24"/>
                <w:vertAlign w:val="superscript"/>
              </w:rPr>
              <w:t>rd</w:t>
            </w:r>
          </w:p>
          <w:p w:rsidR="00464DAF" w:rsidRPr="00723D26" w:rsidRDefault="00464DAF" w:rsidP="007B196E">
            <w:pPr>
              <w:spacing w:after="0" w:line="240" w:lineRule="auto"/>
              <w:jc w:val="center"/>
              <w:rPr>
                <w:rFonts w:ascii="Times New Roman" w:hAnsi="Times New Roman"/>
                <w:b/>
                <w:sz w:val="24"/>
                <w:szCs w:val="24"/>
              </w:rPr>
            </w:pPr>
            <w:r>
              <w:rPr>
                <w:rFonts w:ascii="Times New Roman" w:hAnsi="Times New Roman"/>
                <w:b/>
                <w:sz w:val="24"/>
                <w:szCs w:val="24"/>
              </w:rPr>
              <w:t>Quarter *</w:t>
            </w:r>
          </w:p>
        </w:tc>
        <w:tc>
          <w:tcPr>
            <w:tcW w:w="1640" w:type="dxa"/>
            <w:shd w:val="clear" w:color="auto" w:fill="FFFFFF" w:themeFill="background1"/>
          </w:tcPr>
          <w:p w:rsidR="00464DAF" w:rsidRDefault="00143F9C" w:rsidP="007B196E">
            <w:pPr>
              <w:spacing w:after="0" w:line="240" w:lineRule="auto"/>
              <w:jc w:val="center"/>
              <w:rPr>
                <w:rFonts w:ascii="Times New Roman" w:hAnsi="Times New Roman"/>
                <w:b/>
                <w:sz w:val="24"/>
                <w:szCs w:val="24"/>
              </w:rPr>
            </w:pPr>
            <w:r>
              <w:rPr>
                <w:rFonts w:ascii="Times New Roman" w:hAnsi="Times New Roman"/>
                <w:b/>
                <w:sz w:val="24"/>
                <w:szCs w:val="24"/>
              </w:rPr>
              <w:t>2011-2012</w:t>
            </w:r>
          </w:p>
          <w:p w:rsidR="00464DAF" w:rsidRDefault="00143F9C" w:rsidP="007B196E">
            <w:pPr>
              <w:spacing w:after="0" w:line="240" w:lineRule="auto"/>
              <w:jc w:val="center"/>
              <w:rPr>
                <w:rFonts w:ascii="Times New Roman" w:hAnsi="Times New Roman"/>
                <w:b/>
                <w:sz w:val="24"/>
                <w:szCs w:val="24"/>
              </w:rPr>
            </w:pPr>
            <w:r>
              <w:rPr>
                <w:rFonts w:ascii="Times New Roman" w:hAnsi="Times New Roman"/>
                <w:b/>
                <w:sz w:val="24"/>
                <w:szCs w:val="24"/>
              </w:rPr>
              <w:t>3</w:t>
            </w:r>
            <w:r w:rsidRPr="00143F9C">
              <w:rPr>
                <w:rFonts w:ascii="Times New Roman" w:hAnsi="Times New Roman"/>
                <w:b/>
                <w:sz w:val="24"/>
                <w:szCs w:val="24"/>
                <w:vertAlign w:val="superscript"/>
              </w:rPr>
              <w:t>rd</w:t>
            </w:r>
            <w:r>
              <w:rPr>
                <w:rFonts w:ascii="Times New Roman" w:hAnsi="Times New Roman"/>
                <w:b/>
                <w:sz w:val="24"/>
                <w:szCs w:val="24"/>
              </w:rPr>
              <w:t xml:space="preserve"> </w:t>
            </w:r>
          </w:p>
          <w:p w:rsidR="00464DAF" w:rsidRDefault="00464DAF" w:rsidP="00464DAF">
            <w:pPr>
              <w:spacing w:after="0" w:line="240" w:lineRule="auto"/>
              <w:jc w:val="center"/>
              <w:rPr>
                <w:rFonts w:ascii="Times New Roman" w:hAnsi="Times New Roman"/>
                <w:b/>
                <w:sz w:val="24"/>
                <w:szCs w:val="24"/>
              </w:rPr>
            </w:pPr>
            <w:r>
              <w:rPr>
                <w:rFonts w:ascii="Times New Roman" w:hAnsi="Times New Roman"/>
                <w:b/>
                <w:sz w:val="24"/>
                <w:szCs w:val="24"/>
              </w:rPr>
              <w:t>Quarter</w:t>
            </w:r>
          </w:p>
        </w:tc>
      </w:tr>
      <w:tr w:rsidR="00464DAF" w:rsidRPr="007B196E" w:rsidTr="00326CF7">
        <w:tc>
          <w:tcPr>
            <w:tcW w:w="3510" w:type="dxa"/>
          </w:tcPr>
          <w:p w:rsidR="00464DAF" w:rsidRPr="007B196E" w:rsidRDefault="004F3470" w:rsidP="007B196E">
            <w:pPr>
              <w:spacing w:after="0" w:line="240" w:lineRule="auto"/>
              <w:rPr>
                <w:rFonts w:ascii="Times New Roman" w:hAnsi="Times New Roman"/>
                <w:b/>
                <w:sz w:val="24"/>
                <w:szCs w:val="24"/>
              </w:rPr>
            </w:pPr>
            <w:r>
              <w:rPr>
                <w:rFonts w:ascii="Times New Roman" w:hAnsi="Times New Roman"/>
                <w:b/>
                <w:sz w:val="24"/>
                <w:szCs w:val="24"/>
              </w:rPr>
              <w:t>Oxon Hill Middle</w:t>
            </w:r>
          </w:p>
          <w:p w:rsidR="00464DAF" w:rsidRPr="007B196E" w:rsidRDefault="00464DAF" w:rsidP="007B196E">
            <w:pPr>
              <w:spacing w:after="0" w:line="240" w:lineRule="auto"/>
              <w:rPr>
                <w:rFonts w:ascii="Times New Roman" w:hAnsi="Times New Roman"/>
                <w:b/>
                <w:sz w:val="24"/>
                <w:szCs w:val="24"/>
              </w:rPr>
            </w:pPr>
          </w:p>
        </w:tc>
        <w:tc>
          <w:tcPr>
            <w:tcW w:w="1512"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29</w:t>
            </w:r>
          </w:p>
        </w:tc>
        <w:tc>
          <w:tcPr>
            <w:tcW w:w="1530"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27</w:t>
            </w:r>
          </w:p>
        </w:tc>
        <w:tc>
          <w:tcPr>
            <w:tcW w:w="270" w:type="dxa"/>
            <w:shd w:val="solid" w:color="auto" w:fill="auto"/>
          </w:tcPr>
          <w:p w:rsidR="00464DAF" w:rsidRPr="007B196E" w:rsidRDefault="00464DAF" w:rsidP="007B196E">
            <w:pPr>
              <w:spacing w:after="0" w:line="240" w:lineRule="auto"/>
              <w:rPr>
                <w:rFonts w:ascii="Times New Roman" w:hAnsi="Times New Roman"/>
                <w:sz w:val="20"/>
                <w:szCs w:val="20"/>
              </w:rPr>
            </w:pPr>
          </w:p>
        </w:tc>
        <w:tc>
          <w:tcPr>
            <w:tcW w:w="1548"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41</w:t>
            </w:r>
          </w:p>
        </w:tc>
        <w:tc>
          <w:tcPr>
            <w:tcW w:w="1440"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40</w:t>
            </w:r>
          </w:p>
        </w:tc>
        <w:tc>
          <w:tcPr>
            <w:tcW w:w="450" w:type="dxa"/>
            <w:shd w:val="clear" w:color="auto" w:fill="000000" w:themeFill="text1"/>
          </w:tcPr>
          <w:p w:rsidR="00464DAF" w:rsidRPr="00723D26" w:rsidRDefault="00464DAF" w:rsidP="007B196E">
            <w:pPr>
              <w:spacing w:after="0" w:line="240" w:lineRule="auto"/>
              <w:rPr>
                <w:rFonts w:ascii="Times New Roman" w:hAnsi="Times New Roman"/>
                <w:sz w:val="20"/>
                <w:szCs w:val="20"/>
              </w:rPr>
            </w:pPr>
          </w:p>
        </w:tc>
        <w:tc>
          <w:tcPr>
            <w:tcW w:w="1440" w:type="dxa"/>
            <w:shd w:val="clear" w:color="auto" w:fill="FFFFFF" w:themeFill="background1"/>
          </w:tcPr>
          <w:p w:rsidR="00464DAF" w:rsidRPr="00723D26" w:rsidRDefault="00143F9C" w:rsidP="00723D26">
            <w:pPr>
              <w:spacing w:after="0" w:line="240" w:lineRule="auto"/>
              <w:rPr>
                <w:rFonts w:ascii="Times New Roman" w:hAnsi="Times New Roman"/>
                <w:sz w:val="20"/>
                <w:szCs w:val="20"/>
              </w:rPr>
            </w:pPr>
            <w:r>
              <w:rPr>
                <w:rFonts w:ascii="Times New Roman" w:hAnsi="Times New Roman"/>
                <w:sz w:val="20"/>
                <w:szCs w:val="20"/>
              </w:rPr>
              <w:t>61</w:t>
            </w:r>
          </w:p>
        </w:tc>
        <w:tc>
          <w:tcPr>
            <w:tcW w:w="1640" w:type="dxa"/>
            <w:shd w:val="clear" w:color="auto" w:fill="FFFFFF" w:themeFill="background1"/>
          </w:tcPr>
          <w:p w:rsidR="00464DAF" w:rsidRDefault="00143F9C" w:rsidP="00723D26">
            <w:pPr>
              <w:spacing w:after="0" w:line="240" w:lineRule="auto"/>
              <w:rPr>
                <w:rFonts w:ascii="Times New Roman" w:hAnsi="Times New Roman"/>
                <w:sz w:val="20"/>
                <w:szCs w:val="20"/>
              </w:rPr>
            </w:pPr>
            <w:r>
              <w:rPr>
                <w:rFonts w:ascii="Times New Roman" w:hAnsi="Times New Roman"/>
                <w:sz w:val="20"/>
                <w:szCs w:val="20"/>
              </w:rPr>
              <w:t>59</w:t>
            </w:r>
          </w:p>
        </w:tc>
      </w:tr>
      <w:tr w:rsidR="00464DAF" w:rsidRPr="007B196E" w:rsidTr="00326CF7">
        <w:tc>
          <w:tcPr>
            <w:tcW w:w="3510" w:type="dxa"/>
          </w:tcPr>
          <w:p w:rsidR="00464DAF" w:rsidRPr="007B196E" w:rsidRDefault="004F3470" w:rsidP="007B196E">
            <w:pPr>
              <w:spacing w:after="0" w:line="240" w:lineRule="auto"/>
              <w:rPr>
                <w:rFonts w:ascii="Times New Roman" w:hAnsi="Times New Roman"/>
                <w:b/>
                <w:sz w:val="24"/>
                <w:szCs w:val="24"/>
              </w:rPr>
            </w:pPr>
            <w:r>
              <w:rPr>
                <w:rFonts w:ascii="Times New Roman" w:hAnsi="Times New Roman"/>
                <w:b/>
                <w:sz w:val="24"/>
                <w:szCs w:val="24"/>
              </w:rPr>
              <w:t>Thomas Johnson</w:t>
            </w:r>
          </w:p>
          <w:p w:rsidR="00464DAF" w:rsidRPr="007B196E" w:rsidRDefault="00464DAF" w:rsidP="007B196E">
            <w:pPr>
              <w:spacing w:after="0" w:line="240" w:lineRule="auto"/>
              <w:rPr>
                <w:rFonts w:ascii="Times New Roman" w:hAnsi="Times New Roman"/>
                <w:b/>
                <w:sz w:val="24"/>
                <w:szCs w:val="24"/>
              </w:rPr>
            </w:pPr>
          </w:p>
        </w:tc>
        <w:tc>
          <w:tcPr>
            <w:tcW w:w="1512"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3</w:t>
            </w:r>
          </w:p>
        </w:tc>
        <w:tc>
          <w:tcPr>
            <w:tcW w:w="1530"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33</w:t>
            </w:r>
          </w:p>
        </w:tc>
        <w:tc>
          <w:tcPr>
            <w:tcW w:w="270" w:type="dxa"/>
            <w:shd w:val="solid" w:color="auto" w:fill="auto"/>
          </w:tcPr>
          <w:p w:rsidR="00464DAF" w:rsidRPr="007B196E" w:rsidRDefault="00464DAF" w:rsidP="007B196E">
            <w:pPr>
              <w:spacing w:after="0" w:line="240" w:lineRule="auto"/>
              <w:rPr>
                <w:rFonts w:ascii="Times New Roman" w:hAnsi="Times New Roman"/>
                <w:sz w:val="20"/>
                <w:szCs w:val="20"/>
              </w:rPr>
            </w:pPr>
          </w:p>
        </w:tc>
        <w:tc>
          <w:tcPr>
            <w:tcW w:w="1548"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32</w:t>
            </w:r>
          </w:p>
        </w:tc>
        <w:tc>
          <w:tcPr>
            <w:tcW w:w="1440" w:type="dxa"/>
          </w:tcPr>
          <w:p w:rsidR="00464DAF" w:rsidRPr="007B196E" w:rsidRDefault="00326CF7" w:rsidP="007B196E">
            <w:pPr>
              <w:spacing w:after="0" w:line="240" w:lineRule="auto"/>
              <w:rPr>
                <w:rFonts w:ascii="Times New Roman" w:hAnsi="Times New Roman"/>
                <w:sz w:val="20"/>
                <w:szCs w:val="20"/>
              </w:rPr>
            </w:pPr>
            <w:r>
              <w:rPr>
                <w:rFonts w:ascii="Times New Roman" w:hAnsi="Times New Roman"/>
                <w:sz w:val="20"/>
                <w:szCs w:val="20"/>
              </w:rPr>
              <w:t>32</w:t>
            </w:r>
          </w:p>
        </w:tc>
        <w:tc>
          <w:tcPr>
            <w:tcW w:w="450" w:type="dxa"/>
            <w:shd w:val="clear" w:color="auto" w:fill="000000" w:themeFill="text1"/>
          </w:tcPr>
          <w:p w:rsidR="00464DAF" w:rsidRPr="00723D26" w:rsidRDefault="00464DAF" w:rsidP="007B196E">
            <w:pPr>
              <w:spacing w:after="0" w:line="240" w:lineRule="auto"/>
              <w:rPr>
                <w:rFonts w:ascii="Times New Roman" w:hAnsi="Times New Roman"/>
                <w:sz w:val="20"/>
                <w:szCs w:val="20"/>
              </w:rPr>
            </w:pPr>
          </w:p>
        </w:tc>
        <w:tc>
          <w:tcPr>
            <w:tcW w:w="1440" w:type="dxa"/>
            <w:shd w:val="clear" w:color="auto" w:fill="FFFFFF" w:themeFill="background1"/>
          </w:tcPr>
          <w:p w:rsidR="00464DAF" w:rsidRPr="00723D26" w:rsidRDefault="00143F9C" w:rsidP="007B196E">
            <w:pPr>
              <w:spacing w:after="0" w:line="240" w:lineRule="auto"/>
              <w:rPr>
                <w:rFonts w:ascii="Times New Roman" w:hAnsi="Times New Roman"/>
                <w:sz w:val="20"/>
                <w:szCs w:val="20"/>
              </w:rPr>
            </w:pPr>
            <w:r>
              <w:rPr>
                <w:rFonts w:ascii="Times New Roman" w:hAnsi="Times New Roman"/>
                <w:sz w:val="20"/>
                <w:szCs w:val="20"/>
              </w:rPr>
              <w:t>19</w:t>
            </w:r>
          </w:p>
        </w:tc>
        <w:tc>
          <w:tcPr>
            <w:tcW w:w="1640" w:type="dxa"/>
            <w:shd w:val="clear" w:color="auto" w:fill="FFFFFF" w:themeFill="background1"/>
          </w:tcPr>
          <w:p w:rsidR="00464DAF" w:rsidRDefault="00143F9C" w:rsidP="007B196E">
            <w:pPr>
              <w:spacing w:after="0" w:line="240" w:lineRule="auto"/>
              <w:rPr>
                <w:rFonts w:ascii="Times New Roman" w:hAnsi="Times New Roman"/>
                <w:sz w:val="20"/>
                <w:szCs w:val="20"/>
              </w:rPr>
            </w:pPr>
            <w:r>
              <w:rPr>
                <w:rFonts w:ascii="Times New Roman" w:hAnsi="Times New Roman"/>
                <w:sz w:val="20"/>
                <w:szCs w:val="20"/>
              </w:rPr>
              <w:t>46</w:t>
            </w:r>
          </w:p>
        </w:tc>
      </w:tr>
    </w:tbl>
    <w:p w:rsidR="0005496B" w:rsidRPr="00EC4545" w:rsidRDefault="00723D26" w:rsidP="00723D26">
      <w:pPr>
        <w:spacing w:line="240" w:lineRule="auto"/>
        <w:ind w:left="720"/>
        <w:rPr>
          <w:rFonts w:ascii="Times New Roman" w:hAnsi="Times New Roman"/>
        </w:rPr>
      </w:pPr>
      <w:r>
        <w:rPr>
          <w:rFonts w:ascii="Times New Roman" w:hAnsi="Times New Roman"/>
        </w:rPr>
        <w:tab/>
      </w:r>
    </w:p>
    <w:p w:rsidR="0005496B" w:rsidRPr="00EC4545" w:rsidRDefault="0005496B" w:rsidP="00B67887">
      <w:pPr>
        <w:spacing w:after="0" w:line="240" w:lineRule="auto"/>
        <w:rPr>
          <w:rFonts w:ascii="Times New Roman" w:hAnsi="Times New Roman"/>
          <w:u w:val="single"/>
        </w:rPr>
      </w:pPr>
    </w:p>
    <w:p w:rsidR="0005496B" w:rsidRPr="00EC4545" w:rsidRDefault="0005496B" w:rsidP="00B67887">
      <w:pPr>
        <w:spacing w:after="0" w:line="240" w:lineRule="auto"/>
        <w:rPr>
          <w:rFonts w:ascii="Times New Roman" w:hAnsi="Times New Roman"/>
          <w:u w:val="single"/>
        </w:rPr>
      </w:pPr>
    </w:p>
    <w:p w:rsidR="0005496B" w:rsidRPr="00AB3F26" w:rsidRDefault="0005496B" w:rsidP="009911CB">
      <w:pPr>
        <w:rPr>
          <w:rFonts w:ascii="Times New Roman" w:hAnsi="Times New Roman"/>
          <w:b/>
          <w:i/>
          <w:color w:val="FF0000"/>
        </w:rPr>
      </w:pPr>
    </w:p>
    <w:p w:rsidR="0005496B" w:rsidRPr="00EC4545" w:rsidRDefault="0005496B" w:rsidP="00B67887">
      <w:pPr>
        <w:spacing w:after="0" w:line="240" w:lineRule="auto"/>
        <w:rPr>
          <w:rFonts w:ascii="Times New Roman" w:hAnsi="Times New Roman"/>
          <w:u w:val="single"/>
        </w:rPr>
      </w:pPr>
    </w:p>
    <w:p w:rsidR="0005496B" w:rsidRPr="00EC4545" w:rsidRDefault="0005496B" w:rsidP="00B67887">
      <w:pPr>
        <w:spacing w:after="0" w:line="240" w:lineRule="auto"/>
        <w:rPr>
          <w:rFonts w:ascii="Times New Roman" w:hAnsi="Times New Roman"/>
          <w:u w:val="single"/>
        </w:rPr>
      </w:pPr>
    </w:p>
    <w:p w:rsidR="0005496B" w:rsidRPr="00EC4545" w:rsidRDefault="0005496B" w:rsidP="00B67887">
      <w:pPr>
        <w:spacing w:after="0" w:line="240" w:lineRule="auto"/>
        <w:rPr>
          <w:rFonts w:ascii="Times New Roman" w:hAnsi="Times New Roman"/>
          <w:u w:val="single"/>
        </w:rPr>
      </w:pPr>
    </w:p>
    <w:sectPr w:rsidR="0005496B" w:rsidRPr="00EC4545" w:rsidSect="00320974">
      <w:footerReference w:type="default" r:id="rId18"/>
      <w:pgSz w:w="15840" w:h="12240" w:orient="landscape" w:code="1"/>
      <w:pgMar w:top="36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0A" w:rsidRDefault="0079580A" w:rsidP="000E1C76">
      <w:pPr>
        <w:spacing w:after="0" w:line="240" w:lineRule="auto"/>
      </w:pPr>
      <w:r>
        <w:separator/>
      </w:r>
    </w:p>
  </w:endnote>
  <w:endnote w:type="continuationSeparator" w:id="0">
    <w:p w:rsidR="0079580A" w:rsidRDefault="0079580A" w:rsidP="000E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52" w:rsidRDefault="0079580A">
    <w:pPr>
      <w:pStyle w:val="Footer"/>
      <w:jc w:val="right"/>
    </w:pPr>
    <w:r>
      <w:fldChar w:fldCharType="begin"/>
    </w:r>
    <w:r>
      <w:instrText xml:space="preserve"> PAGE   \* MERGEFORMAT </w:instrText>
    </w:r>
    <w:r>
      <w:fldChar w:fldCharType="separate"/>
    </w:r>
    <w:r w:rsidR="009A2BE6">
      <w:rPr>
        <w:noProof/>
      </w:rPr>
      <w:t>27</w:t>
    </w:r>
    <w:r>
      <w:rPr>
        <w:noProof/>
      </w:rPr>
      <w:fldChar w:fldCharType="end"/>
    </w:r>
  </w:p>
  <w:p w:rsidR="00CA7B52" w:rsidRDefault="00CA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0A" w:rsidRDefault="0079580A" w:rsidP="000E1C76">
      <w:pPr>
        <w:spacing w:after="0" w:line="240" w:lineRule="auto"/>
      </w:pPr>
      <w:r>
        <w:separator/>
      </w:r>
    </w:p>
  </w:footnote>
  <w:footnote w:type="continuationSeparator" w:id="0">
    <w:p w:rsidR="0079580A" w:rsidRDefault="0079580A" w:rsidP="000E1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3A7"/>
    <w:multiLevelType w:val="hybridMultilevel"/>
    <w:tmpl w:val="39E8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6E95"/>
    <w:multiLevelType w:val="hybridMultilevel"/>
    <w:tmpl w:val="E2AC8988"/>
    <w:lvl w:ilvl="0" w:tplc="34EA74C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17A68"/>
    <w:multiLevelType w:val="hybridMultilevel"/>
    <w:tmpl w:val="5606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5456C"/>
    <w:multiLevelType w:val="hybridMultilevel"/>
    <w:tmpl w:val="20E2F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87EEA"/>
    <w:multiLevelType w:val="hybridMultilevel"/>
    <w:tmpl w:val="6FB86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073CE"/>
    <w:multiLevelType w:val="hybridMultilevel"/>
    <w:tmpl w:val="55701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92C1B"/>
    <w:multiLevelType w:val="hybridMultilevel"/>
    <w:tmpl w:val="1A80E5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B44618"/>
    <w:multiLevelType w:val="hybridMultilevel"/>
    <w:tmpl w:val="A7F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23531"/>
    <w:multiLevelType w:val="hybridMultilevel"/>
    <w:tmpl w:val="6F465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1D504C"/>
    <w:multiLevelType w:val="hybridMultilevel"/>
    <w:tmpl w:val="6ED68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37203"/>
    <w:multiLevelType w:val="hybridMultilevel"/>
    <w:tmpl w:val="3B661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56099"/>
    <w:multiLevelType w:val="hybridMultilevel"/>
    <w:tmpl w:val="5304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4B55EE"/>
    <w:multiLevelType w:val="hybridMultilevel"/>
    <w:tmpl w:val="B834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C7E3A"/>
    <w:multiLevelType w:val="hybridMultilevel"/>
    <w:tmpl w:val="5A3C07BC"/>
    <w:lvl w:ilvl="0" w:tplc="55C8614E">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914D6D"/>
    <w:multiLevelType w:val="hybridMultilevel"/>
    <w:tmpl w:val="3038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B3EE6"/>
    <w:multiLevelType w:val="hybridMultilevel"/>
    <w:tmpl w:val="46B28FE8"/>
    <w:lvl w:ilvl="0" w:tplc="36164EC0">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90C5C5D"/>
    <w:multiLevelType w:val="hybridMultilevel"/>
    <w:tmpl w:val="A97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33FCD"/>
    <w:multiLevelType w:val="hybridMultilevel"/>
    <w:tmpl w:val="5A3C07BC"/>
    <w:lvl w:ilvl="0" w:tplc="55C8614E">
      <w:start w:val="1"/>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C0A267B"/>
    <w:multiLevelType w:val="hybridMultilevel"/>
    <w:tmpl w:val="F22C3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AD70D7"/>
    <w:multiLevelType w:val="hybridMultilevel"/>
    <w:tmpl w:val="861422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BD358D"/>
    <w:multiLevelType w:val="hybridMultilevel"/>
    <w:tmpl w:val="3CDA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D1F1A"/>
    <w:multiLevelType w:val="hybridMultilevel"/>
    <w:tmpl w:val="46B28FE8"/>
    <w:lvl w:ilvl="0" w:tplc="36164EC0">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AB604D"/>
    <w:multiLevelType w:val="hybridMultilevel"/>
    <w:tmpl w:val="D56E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56B54"/>
    <w:multiLevelType w:val="hybridMultilevel"/>
    <w:tmpl w:val="A10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B4FE6"/>
    <w:multiLevelType w:val="hybridMultilevel"/>
    <w:tmpl w:val="FCC817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8F2D28"/>
    <w:multiLevelType w:val="hybridMultilevel"/>
    <w:tmpl w:val="0660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E0345"/>
    <w:multiLevelType w:val="hybridMultilevel"/>
    <w:tmpl w:val="591E4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9D7EC0"/>
    <w:multiLevelType w:val="hybridMultilevel"/>
    <w:tmpl w:val="B2EC7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5714BD"/>
    <w:multiLevelType w:val="hybridMultilevel"/>
    <w:tmpl w:val="84FE987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CDE2F23"/>
    <w:multiLevelType w:val="hybridMultilevel"/>
    <w:tmpl w:val="3EC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76589"/>
    <w:multiLevelType w:val="hybridMultilevel"/>
    <w:tmpl w:val="1A80E5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CD675B"/>
    <w:multiLevelType w:val="hybridMultilevel"/>
    <w:tmpl w:val="F74E205E"/>
    <w:lvl w:ilvl="0" w:tplc="B87C0BEE">
      <w:start w:val="1"/>
      <w:numFmt w:val="upp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F32F47"/>
    <w:multiLevelType w:val="hybridMultilevel"/>
    <w:tmpl w:val="D19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B62A5"/>
    <w:multiLevelType w:val="hybridMultilevel"/>
    <w:tmpl w:val="ACAE0AC4"/>
    <w:lvl w:ilvl="0" w:tplc="358220A4">
      <w:start w:val="2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49A2EC1"/>
    <w:multiLevelType w:val="hybridMultilevel"/>
    <w:tmpl w:val="A9F6E71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036324"/>
    <w:multiLevelType w:val="hybridMultilevel"/>
    <w:tmpl w:val="660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55537"/>
    <w:multiLevelType w:val="hybridMultilevel"/>
    <w:tmpl w:val="E9A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85073"/>
    <w:multiLevelType w:val="hybridMultilevel"/>
    <w:tmpl w:val="429A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F46B0"/>
    <w:multiLevelType w:val="hybridMultilevel"/>
    <w:tmpl w:val="00BA3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A76EF8"/>
    <w:multiLevelType w:val="hybridMultilevel"/>
    <w:tmpl w:val="E91E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755B8"/>
    <w:multiLevelType w:val="hybridMultilevel"/>
    <w:tmpl w:val="C91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37"/>
  </w:num>
  <w:num w:numId="4">
    <w:abstractNumId w:val="12"/>
  </w:num>
  <w:num w:numId="5">
    <w:abstractNumId w:val="13"/>
  </w:num>
  <w:num w:numId="6">
    <w:abstractNumId w:val="6"/>
  </w:num>
  <w:num w:numId="7">
    <w:abstractNumId w:val="30"/>
  </w:num>
  <w:num w:numId="8">
    <w:abstractNumId w:val="32"/>
  </w:num>
  <w:num w:numId="9">
    <w:abstractNumId w:val="17"/>
  </w:num>
  <w:num w:numId="10">
    <w:abstractNumId w:val="15"/>
  </w:num>
  <w:num w:numId="11">
    <w:abstractNumId w:val="31"/>
  </w:num>
  <w:num w:numId="12">
    <w:abstractNumId w:val="33"/>
  </w:num>
  <w:num w:numId="13">
    <w:abstractNumId w:val="21"/>
  </w:num>
  <w:num w:numId="14">
    <w:abstractNumId w:val="39"/>
  </w:num>
  <w:num w:numId="15">
    <w:abstractNumId w:val="1"/>
  </w:num>
  <w:num w:numId="16">
    <w:abstractNumId w:val="4"/>
  </w:num>
  <w:num w:numId="17">
    <w:abstractNumId w:val="38"/>
  </w:num>
  <w:num w:numId="18">
    <w:abstractNumId w:val="10"/>
  </w:num>
  <w:num w:numId="19">
    <w:abstractNumId w:val="26"/>
  </w:num>
  <w:num w:numId="20">
    <w:abstractNumId w:val="3"/>
  </w:num>
  <w:num w:numId="21">
    <w:abstractNumId w:val="27"/>
  </w:num>
  <w:num w:numId="22">
    <w:abstractNumId w:val="18"/>
  </w:num>
  <w:num w:numId="23">
    <w:abstractNumId w:val="8"/>
  </w:num>
  <w:num w:numId="24">
    <w:abstractNumId w:val="5"/>
  </w:num>
  <w:num w:numId="25">
    <w:abstractNumId w:val="7"/>
  </w:num>
  <w:num w:numId="26">
    <w:abstractNumId w:val="2"/>
  </w:num>
  <w:num w:numId="27">
    <w:abstractNumId w:val="11"/>
  </w:num>
  <w:num w:numId="28">
    <w:abstractNumId w:val="36"/>
  </w:num>
  <w:num w:numId="29">
    <w:abstractNumId w:val="22"/>
  </w:num>
  <w:num w:numId="30">
    <w:abstractNumId w:val="16"/>
  </w:num>
  <w:num w:numId="31">
    <w:abstractNumId w:val="25"/>
  </w:num>
  <w:num w:numId="32">
    <w:abstractNumId w:val="19"/>
  </w:num>
  <w:num w:numId="33">
    <w:abstractNumId w:val="24"/>
  </w:num>
  <w:num w:numId="34">
    <w:abstractNumId w:val="9"/>
  </w:num>
  <w:num w:numId="35">
    <w:abstractNumId w:val="28"/>
  </w:num>
  <w:num w:numId="36">
    <w:abstractNumId w:val="34"/>
  </w:num>
  <w:num w:numId="37">
    <w:abstractNumId w:val="14"/>
  </w:num>
  <w:num w:numId="38">
    <w:abstractNumId w:val="0"/>
  </w:num>
  <w:num w:numId="39">
    <w:abstractNumId w:val="23"/>
  </w:num>
  <w:num w:numId="40">
    <w:abstractNumId w:val="4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E3"/>
    <w:rsid w:val="00001842"/>
    <w:rsid w:val="00003E90"/>
    <w:rsid w:val="00005FF5"/>
    <w:rsid w:val="0001797E"/>
    <w:rsid w:val="00022426"/>
    <w:rsid w:val="00022E34"/>
    <w:rsid w:val="00023CBA"/>
    <w:rsid w:val="0002419E"/>
    <w:rsid w:val="0003262A"/>
    <w:rsid w:val="00037C04"/>
    <w:rsid w:val="0004033B"/>
    <w:rsid w:val="0005496B"/>
    <w:rsid w:val="0005537E"/>
    <w:rsid w:val="0006359E"/>
    <w:rsid w:val="00070095"/>
    <w:rsid w:val="00076FCF"/>
    <w:rsid w:val="00082167"/>
    <w:rsid w:val="00082B4E"/>
    <w:rsid w:val="000847F7"/>
    <w:rsid w:val="000912B4"/>
    <w:rsid w:val="00094236"/>
    <w:rsid w:val="000B024E"/>
    <w:rsid w:val="000B10BA"/>
    <w:rsid w:val="000B775E"/>
    <w:rsid w:val="000C05DF"/>
    <w:rsid w:val="000D0563"/>
    <w:rsid w:val="000D4420"/>
    <w:rsid w:val="000D494E"/>
    <w:rsid w:val="000D6A1B"/>
    <w:rsid w:val="000E1C76"/>
    <w:rsid w:val="000F4E91"/>
    <w:rsid w:val="000F7075"/>
    <w:rsid w:val="000F7C8F"/>
    <w:rsid w:val="00104BA7"/>
    <w:rsid w:val="00116829"/>
    <w:rsid w:val="0013194F"/>
    <w:rsid w:val="00134DF4"/>
    <w:rsid w:val="0013545C"/>
    <w:rsid w:val="0014023D"/>
    <w:rsid w:val="00141FCF"/>
    <w:rsid w:val="00142D49"/>
    <w:rsid w:val="00143F9C"/>
    <w:rsid w:val="001534C1"/>
    <w:rsid w:val="001578A6"/>
    <w:rsid w:val="001757BD"/>
    <w:rsid w:val="001832B4"/>
    <w:rsid w:val="00184F10"/>
    <w:rsid w:val="00187197"/>
    <w:rsid w:val="0019535E"/>
    <w:rsid w:val="00196E73"/>
    <w:rsid w:val="001B178F"/>
    <w:rsid w:val="001C09B8"/>
    <w:rsid w:val="001C650B"/>
    <w:rsid w:val="001C74B2"/>
    <w:rsid w:val="001E32A3"/>
    <w:rsid w:val="001E3D01"/>
    <w:rsid w:val="00202352"/>
    <w:rsid w:val="002079BD"/>
    <w:rsid w:val="00221538"/>
    <w:rsid w:val="00230080"/>
    <w:rsid w:val="00237393"/>
    <w:rsid w:val="0024227F"/>
    <w:rsid w:val="0024447F"/>
    <w:rsid w:val="00251BD8"/>
    <w:rsid w:val="00256AB8"/>
    <w:rsid w:val="002669EC"/>
    <w:rsid w:val="00271303"/>
    <w:rsid w:val="00274919"/>
    <w:rsid w:val="0028322B"/>
    <w:rsid w:val="00290601"/>
    <w:rsid w:val="00290740"/>
    <w:rsid w:val="00297088"/>
    <w:rsid w:val="002A3A45"/>
    <w:rsid w:val="002B24AD"/>
    <w:rsid w:val="002B44E9"/>
    <w:rsid w:val="002B4783"/>
    <w:rsid w:val="002B6905"/>
    <w:rsid w:val="002D0F73"/>
    <w:rsid w:val="002E00C9"/>
    <w:rsid w:val="002E346E"/>
    <w:rsid w:val="002E3DD4"/>
    <w:rsid w:val="002E6662"/>
    <w:rsid w:val="002F4E3B"/>
    <w:rsid w:val="00300642"/>
    <w:rsid w:val="00305EFA"/>
    <w:rsid w:val="00311829"/>
    <w:rsid w:val="00316AA8"/>
    <w:rsid w:val="00320974"/>
    <w:rsid w:val="00322A93"/>
    <w:rsid w:val="00325ED9"/>
    <w:rsid w:val="003264E9"/>
    <w:rsid w:val="00326CF7"/>
    <w:rsid w:val="0033489C"/>
    <w:rsid w:val="00336741"/>
    <w:rsid w:val="003443DC"/>
    <w:rsid w:val="00345BE1"/>
    <w:rsid w:val="00352A1E"/>
    <w:rsid w:val="00365262"/>
    <w:rsid w:val="00371FEF"/>
    <w:rsid w:val="00383616"/>
    <w:rsid w:val="00385ED0"/>
    <w:rsid w:val="003875C9"/>
    <w:rsid w:val="00393609"/>
    <w:rsid w:val="003956F8"/>
    <w:rsid w:val="003A1D54"/>
    <w:rsid w:val="003A7241"/>
    <w:rsid w:val="003B330C"/>
    <w:rsid w:val="003C3DF7"/>
    <w:rsid w:val="003D063F"/>
    <w:rsid w:val="003D38E3"/>
    <w:rsid w:val="003D7873"/>
    <w:rsid w:val="003E0BCF"/>
    <w:rsid w:val="003E2839"/>
    <w:rsid w:val="003F0D6F"/>
    <w:rsid w:val="003F2BED"/>
    <w:rsid w:val="003F39C2"/>
    <w:rsid w:val="004058DD"/>
    <w:rsid w:val="00410576"/>
    <w:rsid w:val="00414482"/>
    <w:rsid w:val="004160D7"/>
    <w:rsid w:val="00424C51"/>
    <w:rsid w:val="00425713"/>
    <w:rsid w:val="00426400"/>
    <w:rsid w:val="00427592"/>
    <w:rsid w:val="0043125B"/>
    <w:rsid w:val="004375BD"/>
    <w:rsid w:val="0044105E"/>
    <w:rsid w:val="0045335D"/>
    <w:rsid w:val="00462887"/>
    <w:rsid w:val="00463374"/>
    <w:rsid w:val="00464DAF"/>
    <w:rsid w:val="004745E1"/>
    <w:rsid w:val="00483552"/>
    <w:rsid w:val="004858FE"/>
    <w:rsid w:val="00496D47"/>
    <w:rsid w:val="0049709E"/>
    <w:rsid w:val="004A18EB"/>
    <w:rsid w:val="004A3F67"/>
    <w:rsid w:val="004C06A5"/>
    <w:rsid w:val="004D1AB1"/>
    <w:rsid w:val="004D4EFF"/>
    <w:rsid w:val="004E1870"/>
    <w:rsid w:val="004E2070"/>
    <w:rsid w:val="004E7326"/>
    <w:rsid w:val="004F3470"/>
    <w:rsid w:val="00505869"/>
    <w:rsid w:val="00523395"/>
    <w:rsid w:val="00523C7A"/>
    <w:rsid w:val="00532FE8"/>
    <w:rsid w:val="0053789C"/>
    <w:rsid w:val="005407EE"/>
    <w:rsid w:val="00544D9C"/>
    <w:rsid w:val="00544DEA"/>
    <w:rsid w:val="00545312"/>
    <w:rsid w:val="00550964"/>
    <w:rsid w:val="00564235"/>
    <w:rsid w:val="0056547A"/>
    <w:rsid w:val="00573CE0"/>
    <w:rsid w:val="00582C20"/>
    <w:rsid w:val="00587D72"/>
    <w:rsid w:val="00591C5A"/>
    <w:rsid w:val="005A7536"/>
    <w:rsid w:val="005C4169"/>
    <w:rsid w:val="005C7666"/>
    <w:rsid w:val="005D01E2"/>
    <w:rsid w:val="005D4453"/>
    <w:rsid w:val="005E2A2B"/>
    <w:rsid w:val="005E2AA5"/>
    <w:rsid w:val="005E3B04"/>
    <w:rsid w:val="005F305F"/>
    <w:rsid w:val="005F4F0B"/>
    <w:rsid w:val="00600C09"/>
    <w:rsid w:val="00621CBA"/>
    <w:rsid w:val="006232AC"/>
    <w:rsid w:val="00643843"/>
    <w:rsid w:val="00647055"/>
    <w:rsid w:val="00650F2F"/>
    <w:rsid w:val="00673F45"/>
    <w:rsid w:val="00685846"/>
    <w:rsid w:val="00686980"/>
    <w:rsid w:val="006870DF"/>
    <w:rsid w:val="006A6701"/>
    <w:rsid w:val="006B2C3C"/>
    <w:rsid w:val="006C07A5"/>
    <w:rsid w:val="006E1EA7"/>
    <w:rsid w:val="006E263B"/>
    <w:rsid w:val="006E68BA"/>
    <w:rsid w:val="006F44C9"/>
    <w:rsid w:val="00701814"/>
    <w:rsid w:val="00702673"/>
    <w:rsid w:val="007030D5"/>
    <w:rsid w:val="00703EB2"/>
    <w:rsid w:val="007077E8"/>
    <w:rsid w:val="00716901"/>
    <w:rsid w:val="00723407"/>
    <w:rsid w:val="00723D26"/>
    <w:rsid w:val="00724F4B"/>
    <w:rsid w:val="00727BAE"/>
    <w:rsid w:val="007303E6"/>
    <w:rsid w:val="007309BF"/>
    <w:rsid w:val="00740219"/>
    <w:rsid w:val="00740DE4"/>
    <w:rsid w:val="00741679"/>
    <w:rsid w:val="007420A3"/>
    <w:rsid w:val="007558E5"/>
    <w:rsid w:val="0075645E"/>
    <w:rsid w:val="00762CAE"/>
    <w:rsid w:val="00775F5F"/>
    <w:rsid w:val="007919E0"/>
    <w:rsid w:val="00794B80"/>
    <w:rsid w:val="0079580A"/>
    <w:rsid w:val="00795B5F"/>
    <w:rsid w:val="007A23D3"/>
    <w:rsid w:val="007A67AE"/>
    <w:rsid w:val="007B196E"/>
    <w:rsid w:val="007B4DAC"/>
    <w:rsid w:val="007B4F0A"/>
    <w:rsid w:val="007D1A50"/>
    <w:rsid w:val="007D30F7"/>
    <w:rsid w:val="007E0897"/>
    <w:rsid w:val="007E266F"/>
    <w:rsid w:val="007E5C33"/>
    <w:rsid w:val="007F6852"/>
    <w:rsid w:val="00800730"/>
    <w:rsid w:val="00801B1D"/>
    <w:rsid w:val="00804F0A"/>
    <w:rsid w:val="00806F63"/>
    <w:rsid w:val="008106A1"/>
    <w:rsid w:val="00813DD3"/>
    <w:rsid w:val="00814153"/>
    <w:rsid w:val="0081497A"/>
    <w:rsid w:val="00814E18"/>
    <w:rsid w:val="00816CA0"/>
    <w:rsid w:val="00820D84"/>
    <w:rsid w:val="00820EC2"/>
    <w:rsid w:val="008241BF"/>
    <w:rsid w:val="00824FD2"/>
    <w:rsid w:val="00851160"/>
    <w:rsid w:val="008532D8"/>
    <w:rsid w:val="00853C7A"/>
    <w:rsid w:val="00854F5F"/>
    <w:rsid w:val="0086542A"/>
    <w:rsid w:val="00867458"/>
    <w:rsid w:val="00871DDE"/>
    <w:rsid w:val="00872DF1"/>
    <w:rsid w:val="00874E30"/>
    <w:rsid w:val="008813D8"/>
    <w:rsid w:val="00885C8F"/>
    <w:rsid w:val="0089000C"/>
    <w:rsid w:val="00891EC1"/>
    <w:rsid w:val="00892947"/>
    <w:rsid w:val="008A353D"/>
    <w:rsid w:val="008A42E7"/>
    <w:rsid w:val="008B556D"/>
    <w:rsid w:val="008E2D42"/>
    <w:rsid w:val="008E5482"/>
    <w:rsid w:val="008E7DDD"/>
    <w:rsid w:val="009065CE"/>
    <w:rsid w:val="00906B91"/>
    <w:rsid w:val="00913214"/>
    <w:rsid w:val="00926449"/>
    <w:rsid w:val="00930AD2"/>
    <w:rsid w:val="009316C5"/>
    <w:rsid w:val="009478EE"/>
    <w:rsid w:val="00951A67"/>
    <w:rsid w:val="009527C4"/>
    <w:rsid w:val="00954FAA"/>
    <w:rsid w:val="00966828"/>
    <w:rsid w:val="00966EE7"/>
    <w:rsid w:val="00972247"/>
    <w:rsid w:val="0097226C"/>
    <w:rsid w:val="0097604C"/>
    <w:rsid w:val="00977080"/>
    <w:rsid w:val="00986DF2"/>
    <w:rsid w:val="009911CB"/>
    <w:rsid w:val="00995ACC"/>
    <w:rsid w:val="009A08C0"/>
    <w:rsid w:val="009A272E"/>
    <w:rsid w:val="009A2BE6"/>
    <w:rsid w:val="009B28AB"/>
    <w:rsid w:val="009C3DFC"/>
    <w:rsid w:val="009D06C8"/>
    <w:rsid w:val="009E0DAD"/>
    <w:rsid w:val="009E727A"/>
    <w:rsid w:val="009F2870"/>
    <w:rsid w:val="009F3E71"/>
    <w:rsid w:val="009F611C"/>
    <w:rsid w:val="00A00F88"/>
    <w:rsid w:val="00A0438F"/>
    <w:rsid w:val="00A42069"/>
    <w:rsid w:val="00A5075B"/>
    <w:rsid w:val="00A51118"/>
    <w:rsid w:val="00A5677C"/>
    <w:rsid w:val="00A66540"/>
    <w:rsid w:val="00A66AAB"/>
    <w:rsid w:val="00A733ED"/>
    <w:rsid w:val="00A83D83"/>
    <w:rsid w:val="00A9016F"/>
    <w:rsid w:val="00A91928"/>
    <w:rsid w:val="00A92D9F"/>
    <w:rsid w:val="00A96A15"/>
    <w:rsid w:val="00AA238A"/>
    <w:rsid w:val="00AB168C"/>
    <w:rsid w:val="00AB2340"/>
    <w:rsid w:val="00AB3F26"/>
    <w:rsid w:val="00AC5D79"/>
    <w:rsid w:val="00AD06E6"/>
    <w:rsid w:val="00AD1B03"/>
    <w:rsid w:val="00AD4360"/>
    <w:rsid w:val="00AF01DF"/>
    <w:rsid w:val="00AF10DB"/>
    <w:rsid w:val="00AF2426"/>
    <w:rsid w:val="00AF3BC3"/>
    <w:rsid w:val="00AF6C1D"/>
    <w:rsid w:val="00B169DA"/>
    <w:rsid w:val="00B17A7A"/>
    <w:rsid w:val="00B20EA0"/>
    <w:rsid w:val="00B22EEF"/>
    <w:rsid w:val="00B23114"/>
    <w:rsid w:val="00B27BB8"/>
    <w:rsid w:val="00B34CCB"/>
    <w:rsid w:val="00B365FA"/>
    <w:rsid w:val="00B528CD"/>
    <w:rsid w:val="00B5711B"/>
    <w:rsid w:val="00B62AED"/>
    <w:rsid w:val="00B65AFC"/>
    <w:rsid w:val="00B677B2"/>
    <w:rsid w:val="00B67887"/>
    <w:rsid w:val="00B73792"/>
    <w:rsid w:val="00B7760F"/>
    <w:rsid w:val="00B812C2"/>
    <w:rsid w:val="00B820BD"/>
    <w:rsid w:val="00B85CBA"/>
    <w:rsid w:val="00B97973"/>
    <w:rsid w:val="00BA7177"/>
    <w:rsid w:val="00BB11BE"/>
    <w:rsid w:val="00BB2F8F"/>
    <w:rsid w:val="00BC5699"/>
    <w:rsid w:val="00BC5A76"/>
    <w:rsid w:val="00BD322D"/>
    <w:rsid w:val="00BD514B"/>
    <w:rsid w:val="00BE2EC2"/>
    <w:rsid w:val="00BE78B2"/>
    <w:rsid w:val="00BF133D"/>
    <w:rsid w:val="00BF2E58"/>
    <w:rsid w:val="00C03680"/>
    <w:rsid w:val="00C07814"/>
    <w:rsid w:val="00C11EBC"/>
    <w:rsid w:val="00C13681"/>
    <w:rsid w:val="00C15418"/>
    <w:rsid w:val="00C20790"/>
    <w:rsid w:val="00C20F29"/>
    <w:rsid w:val="00C23764"/>
    <w:rsid w:val="00C33E50"/>
    <w:rsid w:val="00C4182B"/>
    <w:rsid w:val="00C447BF"/>
    <w:rsid w:val="00C517B4"/>
    <w:rsid w:val="00C61C7A"/>
    <w:rsid w:val="00C65185"/>
    <w:rsid w:val="00C65253"/>
    <w:rsid w:val="00C74C4D"/>
    <w:rsid w:val="00C877F0"/>
    <w:rsid w:val="00C97CBD"/>
    <w:rsid w:val="00CA2BBA"/>
    <w:rsid w:val="00CA7B52"/>
    <w:rsid w:val="00CB71BC"/>
    <w:rsid w:val="00CC35CA"/>
    <w:rsid w:val="00CC7FEC"/>
    <w:rsid w:val="00CD0FBE"/>
    <w:rsid w:val="00CD3B2F"/>
    <w:rsid w:val="00CD46D2"/>
    <w:rsid w:val="00CD69CB"/>
    <w:rsid w:val="00CE085B"/>
    <w:rsid w:val="00CF1B0C"/>
    <w:rsid w:val="00CF3BF8"/>
    <w:rsid w:val="00D0145B"/>
    <w:rsid w:val="00D01C1B"/>
    <w:rsid w:val="00D024CE"/>
    <w:rsid w:val="00D054FD"/>
    <w:rsid w:val="00D061AF"/>
    <w:rsid w:val="00D144C7"/>
    <w:rsid w:val="00D20CAA"/>
    <w:rsid w:val="00D22F4E"/>
    <w:rsid w:val="00D275F9"/>
    <w:rsid w:val="00D31BE2"/>
    <w:rsid w:val="00D34525"/>
    <w:rsid w:val="00D35CEC"/>
    <w:rsid w:val="00D51507"/>
    <w:rsid w:val="00D539A7"/>
    <w:rsid w:val="00D557C1"/>
    <w:rsid w:val="00D60AF2"/>
    <w:rsid w:val="00D649E1"/>
    <w:rsid w:val="00D73C8A"/>
    <w:rsid w:val="00D76FFC"/>
    <w:rsid w:val="00D8217B"/>
    <w:rsid w:val="00D963DD"/>
    <w:rsid w:val="00DA6AE9"/>
    <w:rsid w:val="00DD4A5F"/>
    <w:rsid w:val="00DE40C7"/>
    <w:rsid w:val="00DE5D95"/>
    <w:rsid w:val="00DE61B9"/>
    <w:rsid w:val="00DE6690"/>
    <w:rsid w:val="00DF16FB"/>
    <w:rsid w:val="00DF6375"/>
    <w:rsid w:val="00E00A7D"/>
    <w:rsid w:val="00E07657"/>
    <w:rsid w:val="00E1057C"/>
    <w:rsid w:val="00E127A8"/>
    <w:rsid w:val="00E1411B"/>
    <w:rsid w:val="00E143AE"/>
    <w:rsid w:val="00E20B19"/>
    <w:rsid w:val="00E22461"/>
    <w:rsid w:val="00E35280"/>
    <w:rsid w:val="00E7079E"/>
    <w:rsid w:val="00E72892"/>
    <w:rsid w:val="00E7392B"/>
    <w:rsid w:val="00E81B14"/>
    <w:rsid w:val="00E827B8"/>
    <w:rsid w:val="00E85850"/>
    <w:rsid w:val="00E94244"/>
    <w:rsid w:val="00EA2CF5"/>
    <w:rsid w:val="00EB42C3"/>
    <w:rsid w:val="00EC4545"/>
    <w:rsid w:val="00ED5F3D"/>
    <w:rsid w:val="00EE663F"/>
    <w:rsid w:val="00EF41C8"/>
    <w:rsid w:val="00EF4A72"/>
    <w:rsid w:val="00EF71CD"/>
    <w:rsid w:val="00F1269E"/>
    <w:rsid w:val="00F24CE8"/>
    <w:rsid w:val="00F3035D"/>
    <w:rsid w:val="00F41128"/>
    <w:rsid w:val="00F50B6B"/>
    <w:rsid w:val="00F60397"/>
    <w:rsid w:val="00F60F18"/>
    <w:rsid w:val="00F673EA"/>
    <w:rsid w:val="00F703EC"/>
    <w:rsid w:val="00F70A8E"/>
    <w:rsid w:val="00F75102"/>
    <w:rsid w:val="00F97A3E"/>
    <w:rsid w:val="00FB10E6"/>
    <w:rsid w:val="00FB220A"/>
    <w:rsid w:val="00FB51B3"/>
    <w:rsid w:val="00FB7870"/>
    <w:rsid w:val="00FC1654"/>
    <w:rsid w:val="00FD5D1F"/>
    <w:rsid w:val="00FD77C8"/>
    <w:rsid w:val="00FE23D8"/>
    <w:rsid w:val="00FF0F1F"/>
    <w:rsid w:val="00FF554E"/>
    <w:rsid w:val="00FF55FD"/>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8E3"/>
    <w:rPr>
      <w:rFonts w:ascii="Tahoma" w:hAnsi="Tahoma" w:cs="Tahoma"/>
      <w:sz w:val="16"/>
      <w:szCs w:val="16"/>
    </w:rPr>
  </w:style>
  <w:style w:type="paragraph" w:styleId="ListParagraph">
    <w:name w:val="List Paragraph"/>
    <w:basedOn w:val="Normal"/>
    <w:uiPriority w:val="99"/>
    <w:qFormat/>
    <w:rsid w:val="00385ED0"/>
    <w:pPr>
      <w:ind w:left="720"/>
      <w:contextualSpacing/>
    </w:pPr>
  </w:style>
  <w:style w:type="table" w:styleId="TableGrid">
    <w:name w:val="Table Grid"/>
    <w:basedOn w:val="TableNormal"/>
    <w:uiPriority w:val="99"/>
    <w:rsid w:val="00AD06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E1C7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E1C76"/>
    <w:rPr>
      <w:rFonts w:cs="Times New Roman"/>
      <w:sz w:val="20"/>
      <w:szCs w:val="20"/>
    </w:rPr>
  </w:style>
  <w:style w:type="character" w:styleId="FootnoteReference">
    <w:name w:val="footnote reference"/>
    <w:basedOn w:val="DefaultParagraphFont"/>
    <w:uiPriority w:val="99"/>
    <w:semiHidden/>
    <w:rsid w:val="000E1C76"/>
    <w:rPr>
      <w:rFonts w:cs="Times New Roman"/>
      <w:vertAlign w:val="superscript"/>
    </w:rPr>
  </w:style>
  <w:style w:type="paragraph" w:styleId="Header">
    <w:name w:val="header"/>
    <w:basedOn w:val="Normal"/>
    <w:link w:val="HeaderChar"/>
    <w:uiPriority w:val="99"/>
    <w:semiHidden/>
    <w:rsid w:val="00FF5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F5AF8"/>
    <w:rPr>
      <w:rFonts w:cs="Times New Roman"/>
    </w:rPr>
  </w:style>
  <w:style w:type="paragraph" w:styleId="Footer">
    <w:name w:val="footer"/>
    <w:basedOn w:val="Normal"/>
    <w:link w:val="FooterChar"/>
    <w:uiPriority w:val="99"/>
    <w:rsid w:val="00FF5A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5AF8"/>
    <w:rPr>
      <w:rFonts w:cs="Times New Roman"/>
    </w:rPr>
  </w:style>
  <w:style w:type="character" w:styleId="Hyperlink">
    <w:name w:val="Hyperlink"/>
    <w:basedOn w:val="DefaultParagraphFont"/>
    <w:uiPriority w:val="99"/>
    <w:rsid w:val="005A7536"/>
    <w:rPr>
      <w:rFonts w:cs="Times New Roman"/>
      <w:color w:val="0000FF"/>
      <w:u w:val="single"/>
    </w:rPr>
  </w:style>
  <w:style w:type="paragraph" w:styleId="PlainText">
    <w:name w:val="Plain Text"/>
    <w:basedOn w:val="Normal"/>
    <w:link w:val="PlainTextChar"/>
    <w:uiPriority w:val="99"/>
    <w:rsid w:val="00E127A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customStyle="1" w:styleId="TableGrid1">
    <w:name w:val="Table Grid1"/>
    <w:basedOn w:val="TableNormal"/>
    <w:next w:val="TableGrid"/>
    <w:uiPriority w:val="59"/>
    <w:rsid w:val="005F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F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8E3"/>
    <w:rPr>
      <w:rFonts w:ascii="Tahoma" w:hAnsi="Tahoma" w:cs="Tahoma"/>
      <w:sz w:val="16"/>
      <w:szCs w:val="16"/>
    </w:rPr>
  </w:style>
  <w:style w:type="paragraph" w:styleId="ListParagraph">
    <w:name w:val="List Paragraph"/>
    <w:basedOn w:val="Normal"/>
    <w:uiPriority w:val="99"/>
    <w:qFormat/>
    <w:rsid w:val="00385ED0"/>
    <w:pPr>
      <w:ind w:left="720"/>
      <w:contextualSpacing/>
    </w:pPr>
  </w:style>
  <w:style w:type="table" w:styleId="TableGrid">
    <w:name w:val="Table Grid"/>
    <w:basedOn w:val="TableNormal"/>
    <w:uiPriority w:val="99"/>
    <w:rsid w:val="00AD06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E1C7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E1C76"/>
    <w:rPr>
      <w:rFonts w:cs="Times New Roman"/>
      <w:sz w:val="20"/>
      <w:szCs w:val="20"/>
    </w:rPr>
  </w:style>
  <w:style w:type="character" w:styleId="FootnoteReference">
    <w:name w:val="footnote reference"/>
    <w:basedOn w:val="DefaultParagraphFont"/>
    <w:uiPriority w:val="99"/>
    <w:semiHidden/>
    <w:rsid w:val="000E1C76"/>
    <w:rPr>
      <w:rFonts w:cs="Times New Roman"/>
      <w:vertAlign w:val="superscript"/>
    </w:rPr>
  </w:style>
  <w:style w:type="paragraph" w:styleId="Header">
    <w:name w:val="header"/>
    <w:basedOn w:val="Normal"/>
    <w:link w:val="HeaderChar"/>
    <w:uiPriority w:val="99"/>
    <w:semiHidden/>
    <w:rsid w:val="00FF5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F5AF8"/>
    <w:rPr>
      <w:rFonts w:cs="Times New Roman"/>
    </w:rPr>
  </w:style>
  <w:style w:type="paragraph" w:styleId="Footer">
    <w:name w:val="footer"/>
    <w:basedOn w:val="Normal"/>
    <w:link w:val="FooterChar"/>
    <w:uiPriority w:val="99"/>
    <w:rsid w:val="00FF5A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5AF8"/>
    <w:rPr>
      <w:rFonts w:cs="Times New Roman"/>
    </w:rPr>
  </w:style>
  <w:style w:type="character" w:styleId="Hyperlink">
    <w:name w:val="Hyperlink"/>
    <w:basedOn w:val="DefaultParagraphFont"/>
    <w:uiPriority w:val="99"/>
    <w:rsid w:val="005A7536"/>
    <w:rPr>
      <w:rFonts w:cs="Times New Roman"/>
      <w:color w:val="0000FF"/>
      <w:u w:val="single"/>
    </w:rPr>
  </w:style>
  <w:style w:type="paragraph" w:styleId="PlainText">
    <w:name w:val="Plain Text"/>
    <w:basedOn w:val="Normal"/>
    <w:link w:val="PlainTextChar"/>
    <w:uiPriority w:val="99"/>
    <w:rsid w:val="00E127A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customStyle="1" w:styleId="TableGrid1">
    <w:name w:val="Table Grid1"/>
    <w:basedOn w:val="TableNormal"/>
    <w:next w:val="TableGrid"/>
    <w:uiPriority w:val="59"/>
    <w:rsid w:val="005F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F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3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9874">
      <w:marLeft w:val="0"/>
      <w:marRight w:val="0"/>
      <w:marTop w:val="0"/>
      <w:marBottom w:val="0"/>
      <w:divBdr>
        <w:top w:val="none" w:sz="0" w:space="0" w:color="auto"/>
        <w:left w:val="none" w:sz="0" w:space="0" w:color="auto"/>
        <w:bottom w:val="none" w:sz="0" w:space="0" w:color="auto"/>
        <w:right w:val="none" w:sz="0" w:space="0" w:color="auto"/>
      </w:divBdr>
    </w:div>
    <w:div w:id="1533959875">
      <w:marLeft w:val="0"/>
      <w:marRight w:val="0"/>
      <w:marTop w:val="0"/>
      <w:marBottom w:val="0"/>
      <w:divBdr>
        <w:top w:val="none" w:sz="0" w:space="0" w:color="auto"/>
        <w:left w:val="none" w:sz="0" w:space="0" w:color="auto"/>
        <w:bottom w:val="none" w:sz="0" w:space="0" w:color="auto"/>
        <w:right w:val="none" w:sz="0" w:space="0" w:color="auto"/>
      </w:divBdr>
    </w:div>
    <w:div w:id="1533959876">
      <w:marLeft w:val="0"/>
      <w:marRight w:val="0"/>
      <w:marTop w:val="0"/>
      <w:marBottom w:val="0"/>
      <w:divBdr>
        <w:top w:val="none" w:sz="0" w:space="0" w:color="auto"/>
        <w:left w:val="none" w:sz="0" w:space="0" w:color="auto"/>
        <w:bottom w:val="none" w:sz="0" w:space="0" w:color="auto"/>
        <w:right w:val="none" w:sz="0" w:space="0" w:color="auto"/>
      </w:divBdr>
    </w:div>
    <w:div w:id="1533959877">
      <w:marLeft w:val="0"/>
      <w:marRight w:val="0"/>
      <w:marTop w:val="0"/>
      <w:marBottom w:val="0"/>
      <w:divBdr>
        <w:top w:val="none" w:sz="0" w:space="0" w:color="auto"/>
        <w:left w:val="none" w:sz="0" w:space="0" w:color="auto"/>
        <w:bottom w:val="none" w:sz="0" w:space="0" w:color="auto"/>
        <w:right w:val="none" w:sz="0" w:space="0" w:color="auto"/>
      </w:divBdr>
    </w:div>
    <w:div w:id="1533959878">
      <w:marLeft w:val="0"/>
      <w:marRight w:val="0"/>
      <w:marTop w:val="0"/>
      <w:marBottom w:val="0"/>
      <w:divBdr>
        <w:top w:val="none" w:sz="0" w:space="0" w:color="auto"/>
        <w:left w:val="none" w:sz="0" w:space="0" w:color="auto"/>
        <w:bottom w:val="none" w:sz="0" w:space="0" w:color="auto"/>
        <w:right w:val="none" w:sz="0" w:space="0" w:color="auto"/>
      </w:divBdr>
    </w:div>
    <w:div w:id="1533959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mdreportcard.org"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Restart</a:t>
            </a:r>
            <a:r>
              <a:rPr lang="en-US" baseline="0"/>
              <a:t> Schools Consolidated FAST I Data</a:t>
            </a:r>
          </a:p>
          <a:p>
            <a:pPr>
              <a:defRPr/>
            </a:pPr>
            <a:r>
              <a:rPr lang="en-US" baseline="0"/>
              <a:t>Reading 2011-2012</a:t>
            </a:r>
            <a:endParaRPr lang="en-US"/>
          </a:p>
        </c:rich>
      </c:tx>
      <c:overlay val="0"/>
    </c:title>
    <c:autoTitleDeleted val="0"/>
    <c:plotArea>
      <c:layout/>
      <c:barChart>
        <c:barDir val="col"/>
        <c:grouping val="clustered"/>
        <c:varyColors val="0"/>
        <c:ser>
          <c:idx val="0"/>
          <c:order val="0"/>
          <c:tx>
            <c:strRef>
              <c:f>Sheet1!$A$2</c:f>
              <c:strCache>
                <c:ptCount val="1"/>
                <c:pt idx="0">
                  <c:v>Oxon Hill Middle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Sheet1!$B$1:$E$1</c:f>
              <c:strCache>
                <c:ptCount val="4"/>
                <c:pt idx="0">
                  <c:v>All</c:v>
                </c:pt>
                <c:pt idx="1">
                  <c:v>6th</c:v>
                </c:pt>
                <c:pt idx="2">
                  <c:v>7th</c:v>
                </c:pt>
                <c:pt idx="3">
                  <c:v>8th</c:v>
                </c:pt>
              </c:strCache>
            </c:strRef>
          </c:cat>
          <c:val>
            <c:numRef>
              <c:f>Sheet1!$B$2:$E$2</c:f>
              <c:numCache>
                <c:formatCode>General</c:formatCode>
                <c:ptCount val="4"/>
                <c:pt idx="0">
                  <c:v>78.7</c:v>
                </c:pt>
                <c:pt idx="2">
                  <c:v>79.740000000000023</c:v>
                </c:pt>
                <c:pt idx="3">
                  <c:v>77.649999999999991</c:v>
                </c:pt>
              </c:numCache>
            </c:numRef>
          </c:val>
        </c:ser>
        <c:ser>
          <c:idx val="1"/>
          <c:order val="1"/>
          <c:tx>
            <c:strRef>
              <c:f>Sheet1!$A$3</c:f>
              <c:strCache>
                <c:ptCount val="1"/>
                <c:pt idx="0">
                  <c:v>Thomas Johnson</c:v>
                </c:pt>
              </c:strCache>
            </c:strRef>
          </c:tx>
          <c:spPr>
            <a:solidFill>
              <a:schemeClr val="accent1"/>
            </a:solidFill>
          </c:spPr>
          <c:invertIfNegative val="0"/>
          <c:dLbls>
            <c:showLegendKey val="0"/>
            <c:showVal val="1"/>
            <c:showCatName val="0"/>
            <c:showSerName val="0"/>
            <c:showPercent val="0"/>
            <c:showBubbleSize val="0"/>
            <c:showLeaderLines val="0"/>
          </c:dLbls>
          <c:cat>
            <c:strRef>
              <c:f>Sheet1!$B$1:$E$1</c:f>
              <c:strCache>
                <c:ptCount val="4"/>
                <c:pt idx="0">
                  <c:v>All</c:v>
                </c:pt>
                <c:pt idx="1">
                  <c:v>6th</c:v>
                </c:pt>
                <c:pt idx="2">
                  <c:v>7th</c:v>
                </c:pt>
                <c:pt idx="3">
                  <c:v>8th</c:v>
                </c:pt>
              </c:strCache>
            </c:strRef>
          </c:cat>
          <c:val>
            <c:numRef>
              <c:f>Sheet1!$B$3:$E$3</c:f>
              <c:numCache>
                <c:formatCode>General</c:formatCode>
                <c:ptCount val="4"/>
                <c:pt idx="0">
                  <c:v>75.5</c:v>
                </c:pt>
                <c:pt idx="1">
                  <c:v>70.3</c:v>
                </c:pt>
                <c:pt idx="2">
                  <c:v>73.88</c:v>
                </c:pt>
                <c:pt idx="3">
                  <c:v>82.33</c:v>
                </c:pt>
              </c:numCache>
            </c:numRef>
          </c:val>
        </c:ser>
        <c:dLbls>
          <c:showLegendKey val="0"/>
          <c:showVal val="0"/>
          <c:showCatName val="0"/>
          <c:showSerName val="0"/>
          <c:showPercent val="0"/>
          <c:showBubbleSize val="0"/>
        </c:dLbls>
        <c:gapWidth val="150"/>
        <c:axId val="160379264"/>
        <c:axId val="160380800"/>
      </c:barChart>
      <c:catAx>
        <c:axId val="160379264"/>
        <c:scaling>
          <c:orientation val="minMax"/>
        </c:scaling>
        <c:delete val="0"/>
        <c:axPos val="b"/>
        <c:majorTickMark val="out"/>
        <c:minorTickMark val="none"/>
        <c:tickLblPos val="nextTo"/>
        <c:crossAx val="160380800"/>
        <c:crosses val="autoZero"/>
        <c:auto val="1"/>
        <c:lblAlgn val="ctr"/>
        <c:lblOffset val="100"/>
        <c:noMultiLvlLbl val="0"/>
      </c:catAx>
      <c:valAx>
        <c:axId val="160380800"/>
        <c:scaling>
          <c:orientation val="minMax"/>
        </c:scaling>
        <c:delete val="0"/>
        <c:axPos val="l"/>
        <c:majorGridlines/>
        <c:numFmt formatCode="General" sourceLinked="1"/>
        <c:majorTickMark val="out"/>
        <c:minorTickMark val="none"/>
        <c:tickLblPos val="nextTo"/>
        <c:crossAx val="1603792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Restart</a:t>
            </a:r>
            <a:r>
              <a:rPr lang="en-US" baseline="0"/>
              <a:t> Schools Consolidated FAST II Data</a:t>
            </a:r>
          </a:p>
          <a:p>
            <a:pPr>
              <a:defRPr/>
            </a:pPr>
            <a:r>
              <a:rPr lang="en-US" baseline="0"/>
              <a:t>Reading 2011-2012</a:t>
            </a:r>
            <a:endParaRPr lang="en-US"/>
          </a:p>
        </c:rich>
      </c:tx>
      <c:overlay val="0"/>
    </c:title>
    <c:autoTitleDeleted val="0"/>
    <c:plotArea>
      <c:layout/>
      <c:barChart>
        <c:barDir val="col"/>
        <c:grouping val="clustered"/>
        <c:varyColors val="0"/>
        <c:ser>
          <c:idx val="0"/>
          <c:order val="0"/>
          <c:tx>
            <c:strRef>
              <c:f>Sheet2!$A$2</c:f>
              <c:strCache>
                <c:ptCount val="1"/>
                <c:pt idx="0">
                  <c:v>Oxon Hill Middle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Sheet2!$B$1:$E$1</c:f>
              <c:strCache>
                <c:ptCount val="4"/>
                <c:pt idx="0">
                  <c:v>All</c:v>
                </c:pt>
                <c:pt idx="1">
                  <c:v>6th</c:v>
                </c:pt>
                <c:pt idx="2">
                  <c:v>7th</c:v>
                </c:pt>
                <c:pt idx="3">
                  <c:v>8th</c:v>
                </c:pt>
              </c:strCache>
            </c:strRef>
          </c:cat>
          <c:val>
            <c:numRef>
              <c:f>Sheet2!$B$2:$E$2</c:f>
              <c:numCache>
                <c:formatCode>General</c:formatCode>
                <c:ptCount val="4"/>
                <c:pt idx="0">
                  <c:v>73.72</c:v>
                </c:pt>
                <c:pt idx="2">
                  <c:v>73.16</c:v>
                </c:pt>
                <c:pt idx="3">
                  <c:v>74.28</c:v>
                </c:pt>
              </c:numCache>
            </c:numRef>
          </c:val>
        </c:ser>
        <c:ser>
          <c:idx val="1"/>
          <c:order val="1"/>
          <c:tx>
            <c:strRef>
              <c:f>Sheet2!$A$3</c:f>
              <c:strCache>
                <c:ptCount val="1"/>
                <c:pt idx="0">
                  <c:v>Thomas Johnson</c:v>
                </c:pt>
              </c:strCache>
            </c:strRef>
          </c:tx>
          <c:spPr>
            <a:solidFill>
              <a:schemeClr val="accent1"/>
            </a:solidFill>
          </c:spPr>
          <c:invertIfNegative val="0"/>
          <c:dLbls>
            <c:showLegendKey val="0"/>
            <c:showVal val="1"/>
            <c:showCatName val="0"/>
            <c:showSerName val="0"/>
            <c:showPercent val="0"/>
            <c:showBubbleSize val="0"/>
            <c:showLeaderLines val="0"/>
          </c:dLbls>
          <c:cat>
            <c:strRef>
              <c:f>Sheet2!$B$1:$E$1</c:f>
              <c:strCache>
                <c:ptCount val="4"/>
                <c:pt idx="0">
                  <c:v>All</c:v>
                </c:pt>
                <c:pt idx="1">
                  <c:v>6th</c:v>
                </c:pt>
                <c:pt idx="2">
                  <c:v>7th</c:v>
                </c:pt>
                <c:pt idx="3">
                  <c:v>8th</c:v>
                </c:pt>
              </c:strCache>
            </c:strRef>
          </c:cat>
          <c:val>
            <c:numRef>
              <c:f>Sheet2!$B$3:$E$3</c:f>
              <c:numCache>
                <c:formatCode>General</c:formatCode>
                <c:ptCount val="4"/>
                <c:pt idx="0">
                  <c:v>69.08</c:v>
                </c:pt>
                <c:pt idx="1">
                  <c:v>60.98</c:v>
                </c:pt>
                <c:pt idx="2">
                  <c:v>74.72</c:v>
                </c:pt>
                <c:pt idx="3">
                  <c:v>71.53</c:v>
                </c:pt>
              </c:numCache>
            </c:numRef>
          </c:val>
        </c:ser>
        <c:dLbls>
          <c:showLegendKey val="0"/>
          <c:showVal val="0"/>
          <c:showCatName val="0"/>
          <c:showSerName val="0"/>
          <c:showPercent val="0"/>
          <c:showBubbleSize val="0"/>
        </c:dLbls>
        <c:gapWidth val="150"/>
        <c:axId val="160431488"/>
        <c:axId val="160826496"/>
      </c:barChart>
      <c:catAx>
        <c:axId val="160431488"/>
        <c:scaling>
          <c:orientation val="minMax"/>
        </c:scaling>
        <c:delete val="0"/>
        <c:axPos val="b"/>
        <c:majorTickMark val="out"/>
        <c:minorTickMark val="none"/>
        <c:tickLblPos val="nextTo"/>
        <c:crossAx val="160826496"/>
        <c:crosses val="autoZero"/>
        <c:auto val="1"/>
        <c:lblAlgn val="ctr"/>
        <c:lblOffset val="100"/>
        <c:noMultiLvlLbl val="0"/>
      </c:catAx>
      <c:valAx>
        <c:axId val="160826496"/>
        <c:scaling>
          <c:orientation val="minMax"/>
        </c:scaling>
        <c:delete val="0"/>
        <c:axPos val="l"/>
        <c:majorGridlines/>
        <c:numFmt formatCode="General" sourceLinked="1"/>
        <c:majorTickMark val="out"/>
        <c:minorTickMark val="none"/>
        <c:tickLblPos val="nextTo"/>
        <c:crossAx val="160431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Oxon</a:t>
            </a:r>
            <a:r>
              <a:rPr lang="en-US" baseline="0"/>
              <a:t> Hill Middle</a:t>
            </a:r>
          </a:p>
          <a:p>
            <a:pPr>
              <a:defRPr/>
            </a:pPr>
            <a:r>
              <a:rPr lang="en-US" baseline="0"/>
              <a:t>Reading</a:t>
            </a:r>
          </a:p>
          <a:p>
            <a:pPr>
              <a:defRPr/>
            </a:pPr>
            <a:r>
              <a:rPr lang="en-US" baseline="0"/>
              <a:t>FAST Data 2011 - 2012</a:t>
            </a:r>
            <a:endParaRPr lang="en-US"/>
          </a:p>
        </c:rich>
      </c:tx>
      <c:overlay val="0"/>
    </c:title>
    <c:autoTitleDeleted val="0"/>
    <c:plotArea>
      <c:layout/>
      <c:barChart>
        <c:barDir val="col"/>
        <c:grouping val="clustered"/>
        <c:varyColors val="0"/>
        <c:ser>
          <c:idx val="0"/>
          <c:order val="0"/>
          <c:tx>
            <c:strRef>
              <c:f>Sheet3!$A$2</c:f>
              <c:strCache>
                <c:ptCount val="1"/>
                <c:pt idx="0">
                  <c:v>Fast I</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Sheet3!$B$1:$E$1</c:f>
              <c:strCache>
                <c:ptCount val="4"/>
                <c:pt idx="0">
                  <c:v>All</c:v>
                </c:pt>
                <c:pt idx="1">
                  <c:v>6th </c:v>
                </c:pt>
                <c:pt idx="2">
                  <c:v>7th </c:v>
                </c:pt>
                <c:pt idx="3">
                  <c:v>8th</c:v>
                </c:pt>
              </c:strCache>
            </c:strRef>
          </c:cat>
          <c:val>
            <c:numRef>
              <c:f>Sheet3!$B$2:$E$2</c:f>
              <c:numCache>
                <c:formatCode>General</c:formatCode>
                <c:ptCount val="4"/>
                <c:pt idx="0">
                  <c:v>78.7</c:v>
                </c:pt>
                <c:pt idx="2">
                  <c:v>79.740000000000023</c:v>
                </c:pt>
                <c:pt idx="3">
                  <c:v>77.649999999999991</c:v>
                </c:pt>
              </c:numCache>
            </c:numRef>
          </c:val>
        </c:ser>
        <c:ser>
          <c:idx val="1"/>
          <c:order val="1"/>
          <c:tx>
            <c:strRef>
              <c:f>Sheet3!$A$3</c:f>
              <c:strCache>
                <c:ptCount val="1"/>
                <c:pt idx="0">
                  <c:v>Fast II</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Sheet3!$B$1:$E$1</c:f>
              <c:strCache>
                <c:ptCount val="4"/>
                <c:pt idx="0">
                  <c:v>All</c:v>
                </c:pt>
                <c:pt idx="1">
                  <c:v>6th </c:v>
                </c:pt>
                <c:pt idx="2">
                  <c:v>7th </c:v>
                </c:pt>
                <c:pt idx="3">
                  <c:v>8th</c:v>
                </c:pt>
              </c:strCache>
            </c:strRef>
          </c:cat>
          <c:val>
            <c:numRef>
              <c:f>Sheet3!$B$3:$E$3</c:f>
              <c:numCache>
                <c:formatCode>General</c:formatCode>
                <c:ptCount val="4"/>
                <c:pt idx="0">
                  <c:v>73.72</c:v>
                </c:pt>
                <c:pt idx="2">
                  <c:v>73.16</c:v>
                </c:pt>
                <c:pt idx="3">
                  <c:v>74.28</c:v>
                </c:pt>
              </c:numCache>
            </c:numRef>
          </c:val>
        </c:ser>
        <c:dLbls>
          <c:showLegendKey val="0"/>
          <c:showVal val="0"/>
          <c:showCatName val="0"/>
          <c:showSerName val="0"/>
          <c:showPercent val="0"/>
          <c:showBubbleSize val="0"/>
        </c:dLbls>
        <c:gapWidth val="150"/>
        <c:axId val="129321600"/>
        <c:axId val="160829824"/>
      </c:barChart>
      <c:catAx>
        <c:axId val="129321600"/>
        <c:scaling>
          <c:orientation val="minMax"/>
        </c:scaling>
        <c:delete val="0"/>
        <c:axPos val="b"/>
        <c:majorTickMark val="out"/>
        <c:minorTickMark val="none"/>
        <c:tickLblPos val="nextTo"/>
        <c:crossAx val="160829824"/>
        <c:crosses val="autoZero"/>
        <c:auto val="1"/>
        <c:lblAlgn val="ctr"/>
        <c:lblOffset val="100"/>
        <c:noMultiLvlLbl val="0"/>
      </c:catAx>
      <c:valAx>
        <c:axId val="160829824"/>
        <c:scaling>
          <c:orientation val="minMax"/>
        </c:scaling>
        <c:delete val="0"/>
        <c:axPos val="l"/>
        <c:majorGridlines/>
        <c:numFmt formatCode="General" sourceLinked="1"/>
        <c:majorTickMark val="out"/>
        <c:minorTickMark val="none"/>
        <c:tickLblPos val="nextTo"/>
        <c:crossAx val="1293216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Thomas</a:t>
            </a:r>
            <a:r>
              <a:rPr lang="en-US" baseline="0"/>
              <a:t> Johnson Middle</a:t>
            </a:r>
          </a:p>
          <a:p>
            <a:pPr>
              <a:defRPr/>
            </a:pPr>
            <a:r>
              <a:rPr lang="en-US" baseline="0"/>
              <a:t>Reading</a:t>
            </a:r>
          </a:p>
          <a:p>
            <a:pPr>
              <a:defRPr/>
            </a:pPr>
            <a:r>
              <a:rPr lang="en-US" baseline="0"/>
              <a:t>FAST Data 2011-2012</a:t>
            </a:r>
            <a:endParaRPr lang="en-US"/>
          </a:p>
        </c:rich>
      </c:tx>
      <c:overlay val="0"/>
    </c:title>
    <c:autoTitleDeleted val="0"/>
    <c:plotArea>
      <c:layout/>
      <c:barChart>
        <c:barDir val="col"/>
        <c:grouping val="clustered"/>
        <c:varyColors val="0"/>
        <c:ser>
          <c:idx val="0"/>
          <c:order val="0"/>
          <c:tx>
            <c:strRef>
              <c:f>Sheet4!$A$2</c:f>
              <c:strCache>
                <c:ptCount val="1"/>
                <c:pt idx="0">
                  <c:v>Fast I</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Sheet4!$B$1:$E$1</c:f>
              <c:strCache>
                <c:ptCount val="4"/>
                <c:pt idx="0">
                  <c:v>All</c:v>
                </c:pt>
                <c:pt idx="1">
                  <c:v>6th </c:v>
                </c:pt>
                <c:pt idx="2">
                  <c:v>7th </c:v>
                </c:pt>
                <c:pt idx="3">
                  <c:v>8th</c:v>
                </c:pt>
              </c:strCache>
            </c:strRef>
          </c:cat>
          <c:val>
            <c:numRef>
              <c:f>Sheet4!$B$2:$E$2</c:f>
              <c:numCache>
                <c:formatCode>General</c:formatCode>
                <c:ptCount val="4"/>
                <c:pt idx="0">
                  <c:v>75.5</c:v>
                </c:pt>
                <c:pt idx="1">
                  <c:v>70.3</c:v>
                </c:pt>
                <c:pt idx="2">
                  <c:v>73.88</c:v>
                </c:pt>
                <c:pt idx="3">
                  <c:v>82.33</c:v>
                </c:pt>
              </c:numCache>
            </c:numRef>
          </c:val>
        </c:ser>
        <c:ser>
          <c:idx val="1"/>
          <c:order val="1"/>
          <c:tx>
            <c:strRef>
              <c:f>Sheet4!$A$3</c:f>
              <c:strCache>
                <c:ptCount val="1"/>
                <c:pt idx="0">
                  <c:v>Fast II</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Sheet4!$B$1:$E$1</c:f>
              <c:strCache>
                <c:ptCount val="4"/>
                <c:pt idx="0">
                  <c:v>All</c:v>
                </c:pt>
                <c:pt idx="1">
                  <c:v>6th </c:v>
                </c:pt>
                <c:pt idx="2">
                  <c:v>7th </c:v>
                </c:pt>
                <c:pt idx="3">
                  <c:v>8th</c:v>
                </c:pt>
              </c:strCache>
            </c:strRef>
          </c:cat>
          <c:val>
            <c:numRef>
              <c:f>Sheet4!$B$3:$E$3</c:f>
              <c:numCache>
                <c:formatCode>General</c:formatCode>
                <c:ptCount val="4"/>
                <c:pt idx="0">
                  <c:v>69.08</c:v>
                </c:pt>
                <c:pt idx="1">
                  <c:v>60.98</c:v>
                </c:pt>
                <c:pt idx="2">
                  <c:v>74.72</c:v>
                </c:pt>
                <c:pt idx="3">
                  <c:v>71.53</c:v>
                </c:pt>
              </c:numCache>
            </c:numRef>
          </c:val>
        </c:ser>
        <c:dLbls>
          <c:showLegendKey val="0"/>
          <c:showVal val="0"/>
          <c:showCatName val="0"/>
          <c:showSerName val="0"/>
          <c:showPercent val="0"/>
          <c:showBubbleSize val="0"/>
        </c:dLbls>
        <c:gapWidth val="150"/>
        <c:axId val="160872320"/>
        <c:axId val="160873856"/>
      </c:barChart>
      <c:catAx>
        <c:axId val="160872320"/>
        <c:scaling>
          <c:orientation val="minMax"/>
        </c:scaling>
        <c:delete val="0"/>
        <c:axPos val="b"/>
        <c:majorTickMark val="out"/>
        <c:minorTickMark val="none"/>
        <c:tickLblPos val="nextTo"/>
        <c:crossAx val="160873856"/>
        <c:crosses val="autoZero"/>
        <c:auto val="1"/>
        <c:lblAlgn val="ctr"/>
        <c:lblOffset val="100"/>
        <c:noMultiLvlLbl val="0"/>
      </c:catAx>
      <c:valAx>
        <c:axId val="160873856"/>
        <c:scaling>
          <c:orientation val="minMax"/>
        </c:scaling>
        <c:delete val="0"/>
        <c:axPos val="l"/>
        <c:majorGridlines/>
        <c:numFmt formatCode="General" sourceLinked="1"/>
        <c:majorTickMark val="out"/>
        <c:minorTickMark val="none"/>
        <c:tickLblPos val="nextTo"/>
        <c:crossAx val="1608723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Restart</a:t>
            </a:r>
            <a:r>
              <a:rPr lang="en-US" baseline="0"/>
              <a:t> Schools Consolidated FAST I Data</a:t>
            </a:r>
          </a:p>
          <a:p>
            <a:pPr>
              <a:defRPr/>
            </a:pPr>
            <a:r>
              <a:rPr lang="en-US" baseline="0"/>
              <a:t>Mathematics 2011-2012</a:t>
            </a:r>
            <a:endParaRPr lang="en-US"/>
          </a:p>
        </c:rich>
      </c:tx>
      <c:overlay val="0"/>
    </c:title>
    <c:autoTitleDeleted val="0"/>
    <c:plotArea>
      <c:layout/>
      <c:barChart>
        <c:barDir val="col"/>
        <c:grouping val="clustered"/>
        <c:varyColors val="0"/>
        <c:ser>
          <c:idx val="0"/>
          <c:order val="0"/>
          <c:tx>
            <c:strRef>
              <c:f>Sheet5!$A$2</c:f>
              <c:strCache>
                <c:ptCount val="1"/>
                <c:pt idx="0">
                  <c:v>Oxon Hill Middle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Sheet5!$B$1:$E$1</c:f>
              <c:strCache>
                <c:ptCount val="4"/>
                <c:pt idx="0">
                  <c:v>All</c:v>
                </c:pt>
                <c:pt idx="1">
                  <c:v>6th</c:v>
                </c:pt>
                <c:pt idx="2">
                  <c:v>7th</c:v>
                </c:pt>
                <c:pt idx="3">
                  <c:v>8th</c:v>
                </c:pt>
              </c:strCache>
            </c:strRef>
          </c:cat>
          <c:val>
            <c:numRef>
              <c:f>Sheet5!$B$2:$E$2</c:f>
              <c:numCache>
                <c:formatCode>General</c:formatCode>
                <c:ptCount val="4"/>
                <c:pt idx="0">
                  <c:v>35.43</c:v>
                </c:pt>
                <c:pt idx="2">
                  <c:v>29.05</c:v>
                </c:pt>
                <c:pt idx="3">
                  <c:v>41.82</c:v>
                </c:pt>
              </c:numCache>
            </c:numRef>
          </c:val>
        </c:ser>
        <c:ser>
          <c:idx val="1"/>
          <c:order val="1"/>
          <c:tx>
            <c:strRef>
              <c:f>Sheet5!$A$3</c:f>
              <c:strCache>
                <c:ptCount val="1"/>
                <c:pt idx="0">
                  <c:v>Thomas Johnson</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Sheet5!$B$1:$E$1</c:f>
              <c:strCache>
                <c:ptCount val="4"/>
                <c:pt idx="0">
                  <c:v>All</c:v>
                </c:pt>
                <c:pt idx="1">
                  <c:v>6th</c:v>
                </c:pt>
                <c:pt idx="2">
                  <c:v>7th</c:v>
                </c:pt>
                <c:pt idx="3">
                  <c:v>8th</c:v>
                </c:pt>
              </c:strCache>
            </c:strRef>
          </c:cat>
          <c:val>
            <c:numRef>
              <c:f>Sheet5!$B$3:$E$3</c:f>
              <c:numCache>
                <c:formatCode>General</c:formatCode>
                <c:ptCount val="4"/>
                <c:pt idx="0">
                  <c:v>46.24</c:v>
                </c:pt>
                <c:pt idx="1">
                  <c:v>41.58</c:v>
                </c:pt>
                <c:pt idx="2">
                  <c:v>53.339999999999996</c:v>
                </c:pt>
                <c:pt idx="3">
                  <c:v>43.59</c:v>
                </c:pt>
              </c:numCache>
            </c:numRef>
          </c:val>
        </c:ser>
        <c:dLbls>
          <c:showLegendKey val="0"/>
          <c:showVal val="0"/>
          <c:showCatName val="0"/>
          <c:showSerName val="0"/>
          <c:showPercent val="0"/>
          <c:showBubbleSize val="0"/>
        </c:dLbls>
        <c:gapWidth val="150"/>
        <c:axId val="161043584"/>
        <c:axId val="161045120"/>
      </c:barChart>
      <c:catAx>
        <c:axId val="161043584"/>
        <c:scaling>
          <c:orientation val="minMax"/>
        </c:scaling>
        <c:delete val="0"/>
        <c:axPos val="b"/>
        <c:majorTickMark val="out"/>
        <c:minorTickMark val="none"/>
        <c:tickLblPos val="nextTo"/>
        <c:crossAx val="161045120"/>
        <c:crosses val="autoZero"/>
        <c:auto val="1"/>
        <c:lblAlgn val="ctr"/>
        <c:lblOffset val="100"/>
        <c:noMultiLvlLbl val="0"/>
      </c:catAx>
      <c:valAx>
        <c:axId val="161045120"/>
        <c:scaling>
          <c:orientation val="minMax"/>
        </c:scaling>
        <c:delete val="0"/>
        <c:axPos val="l"/>
        <c:majorGridlines/>
        <c:numFmt formatCode="General" sourceLinked="1"/>
        <c:majorTickMark val="out"/>
        <c:minorTickMark val="none"/>
        <c:tickLblPos val="nextTo"/>
        <c:crossAx val="1610435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Restart</a:t>
            </a:r>
            <a:r>
              <a:rPr lang="en-US" baseline="0"/>
              <a:t> Schools Consolidated FAST II Data</a:t>
            </a:r>
          </a:p>
          <a:p>
            <a:pPr>
              <a:defRPr/>
            </a:pPr>
            <a:r>
              <a:rPr lang="en-US" baseline="0"/>
              <a:t>Mathematics</a:t>
            </a:r>
          </a:p>
          <a:p>
            <a:pPr>
              <a:defRPr/>
            </a:pPr>
            <a:r>
              <a:rPr lang="en-US" baseline="0"/>
              <a:t>2011-2012</a:t>
            </a:r>
            <a:endParaRPr lang="en-US"/>
          </a:p>
        </c:rich>
      </c:tx>
      <c:overlay val="0"/>
    </c:title>
    <c:autoTitleDeleted val="0"/>
    <c:plotArea>
      <c:layout/>
      <c:barChart>
        <c:barDir val="col"/>
        <c:grouping val="clustered"/>
        <c:varyColors val="0"/>
        <c:ser>
          <c:idx val="0"/>
          <c:order val="0"/>
          <c:tx>
            <c:strRef>
              <c:f>Sheet6!$A$2</c:f>
              <c:strCache>
                <c:ptCount val="1"/>
                <c:pt idx="0">
                  <c:v>Oxon Hill Middle</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Sheet6!$B$1:$E$1</c:f>
              <c:strCache>
                <c:ptCount val="4"/>
                <c:pt idx="0">
                  <c:v>All</c:v>
                </c:pt>
                <c:pt idx="1">
                  <c:v>6th</c:v>
                </c:pt>
                <c:pt idx="2">
                  <c:v>7th</c:v>
                </c:pt>
                <c:pt idx="3">
                  <c:v>8th</c:v>
                </c:pt>
              </c:strCache>
            </c:strRef>
          </c:cat>
          <c:val>
            <c:numRef>
              <c:f>Sheet6!$B$2:$E$2</c:f>
              <c:numCache>
                <c:formatCode>General</c:formatCode>
                <c:ptCount val="4"/>
                <c:pt idx="0">
                  <c:v>48</c:v>
                </c:pt>
                <c:pt idx="2">
                  <c:v>39.349999999999994</c:v>
                </c:pt>
                <c:pt idx="3">
                  <c:v>56.65</c:v>
                </c:pt>
              </c:numCache>
            </c:numRef>
          </c:val>
        </c:ser>
        <c:ser>
          <c:idx val="1"/>
          <c:order val="1"/>
          <c:tx>
            <c:strRef>
              <c:f>Sheet6!$A$3</c:f>
              <c:strCache>
                <c:ptCount val="1"/>
                <c:pt idx="0">
                  <c:v>Thomas Johnson</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Sheet6!$B$1:$E$1</c:f>
              <c:strCache>
                <c:ptCount val="4"/>
                <c:pt idx="0">
                  <c:v>All</c:v>
                </c:pt>
                <c:pt idx="1">
                  <c:v>6th</c:v>
                </c:pt>
                <c:pt idx="2">
                  <c:v>7th</c:v>
                </c:pt>
                <c:pt idx="3">
                  <c:v>8th</c:v>
                </c:pt>
              </c:strCache>
            </c:strRef>
          </c:cat>
          <c:val>
            <c:numRef>
              <c:f>Sheet6!$B$3:$E$3</c:f>
              <c:numCache>
                <c:formatCode>General</c:formatCode>
                <c:ptCount val="4"/>
                <c:pt idx="0">
                  <c:v>46.68</c:v>
                </c:pt>
                <c:pt idx="1">
                  <c:v>35.03</c:v>
                </c:pt>
                <c:pt idx="2">
                  <c:v>55</c:v>
                </c:pt>
                <c:pt idx="3">
                  <c:v>50</c:v>
                </c:pt>
              </c:numCache>
            </c:numRef>
          </c:val>
        </c:ser>
        <c:dLbls>
          <c:showLegendKey val="0"/>
          <c:showVal val="0"/>
          <c:showCatName val="0"/>
          <c:showSerName val="0"/>
          <c:showPercent val="0"/>
          <c:showBubbleSize val="0"/>
        </c:dLbls>
        <c:gapWidth val="150"/>
        <c:axId val="162181504"/>
        <c:axId val="162183040"/>
      </c:barChart>
      <c:catAx>
        <c:axId val="162181504"/>
        <c:scaling>
          <c:orientation val="minMax"/>
        </c:scaling>
        <c:delete val="0"/>
        <c:axPos val="b"/>
        <c:majorTickMark val="out"/>
        <c:minorTickMark val="none"/>
        <c:tickLblPos val="nextTo"/>
        <c:crossAx val="162183040"/>
        <c:crosses val="autoZero"/>
        <c:auto val="1"/>
        <c:lblAlgn val="ctr"/>
        <c:lblOffset val="100"/>
        <c:noMultiLvlLbl val="0"/>
      </c:catAx>
      <c:valAx>
        <c:axId val="162183040"/>
        <c:scaling>
          <c:orientation val="minMax"/>
        </c:scaling>
        <c:delete val="0"/>
        <c:axPos val="l"/>
        <c:majorGridlines/>
        <c:numFmt formatCode="General" sourceLinked="1"/>
        <c:majorTickMark val="out"/>
        <c:minorTickMark val="none"/>
        <c:tickLblPos val="nextTo"/>
        <c:crossAx val="16218150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Oxon</a:t>
            </a:r>
            <a:r>
              <a:rPr lang="en-US" baseline="0"/>
              <a:t> Hill Middle</a:t>
            </a:r>
          </a:p>
          <a:p>
            <a:pPr>
              <a:defRPr/>
            </a:pPr>
            <a:r>
              <a:rPr lang="en-US" baseline="0"/>
              <a:t>FAST Data 2011-2012</a:t>
            </a:r>
          </a:p>
          <a:p>
            <a:pPr>
              <a:defRPr/>
            </a:pPr>
            <a:r>
              <a:rPr lang="en-US" baseline="0"/>
              <a:t>Mathematics</a:t>
            </a:r>
            <a:endParaRPr lang="en-US"/>
          </a:p>
        </c:rich>
      </c:tx>
      <c:overlay val="0"/>
    </c:title>
    <c:autoTitleDeleted val="0"/>
    <c:plotArea>
      <c:layout/>
      <c:barChart>
        <c:barDir val="col"/>
        <c:grouping val="clustered"/>
        <c:varyColors val="0"/>
        <c:ser>
          <c:idx val="0"/>
          <c:order val="0"/>
          <c:tx>
            <c:strRef>
              <c:f>Sheet7!$A$2</c:f>
              <c:strCache>
                <c:ptCount val="1"/>
                <c:pt idx="0">
                  <c:v>Fast I</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Sheet7!$B$1:$E$1</c:f>
              <c:strCache>
                <c:ptCount val="4"/>
                <c:pt idx="0">
                  <c:v>All</c:v>
                </c:pt>
                <c:pt idx="1">
                  <c:v>6th </c:v>
                </c:pt>
                <c:pt idx="2">
                  <c:v>7th </c:v>
                </c:pt>
                <c:pt idx="3">
                  <c:v>8th</c:v>
                </c:pt>
              </c:strCache>
            </c:strRef>
          </c:cat>
          <c:val>
            <c:numRef>
              <c:f>Sheet7!$B$2:$E$2</c:f>
              <c:numCache>
                <c:formatCode>General</c:formatCode>
                <c:ptCount val="4"/>
                <c:pt idx="0">
                  <c:v>35.43</c:v>
                </c:pt>
                <c:pt idx="2">
                  <c:v>29.05</c:v>
                </c:pt>
                <c:pt idx="3">
                  <c:v>41.82</c:v>
                </c:pt>
              </c:numCache>
            </c:numRef>
          </c:val>
        </c:ser>
        <c:ser>
          <c:idx val="1"/>
          <c:order val="1"/>
          <c:tx>
            <c:strRef>
              <c:f>Sheet7!$A$3</c:f>
              <c:strCache>
                <c:ptCount val="1"/>
                <c:pt idx="0">
                  <c:v>Fast II</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Sheet7!$B$1:$E$1</c:f>
              <c:strCache>
                <c:ptCount val="4"/>
                <c:pt idx="0">
                  <c:v>All</c:v>
                </c:pt>
                <c:pt idx="1">
                  <c:v>6th </c:v>
                </c:pt>
                <c:pt idx="2">
                  <c:v>7th </c:v>
                </c:pt>
                <c:pt idx="3">
                  <c:v>8th</c:v>
                </c:pt>
              </c:strCache>
            </c:strRef>
          </c:cat>
          <c:val>
            <c:numRef>
              <c:f>Sheet7!$B$3:$E$3</c:f>
              <c:numCache>
                <c:formatCode>General</c:formatCode>
                <c:ptCount val="4"/>
                <c:pt idx="0">
                  <c:v>48</c:v>
                </c:pt>
                <c:pt idx="2">
                  <c:v>39.349999999999994</c:v>
                </c:pt>
                <c:pt idx="3">
                  <c:v>56.65</c:v>
                </c:pt>
              </c:numCache>
            </c:numRef>
          </c:val>
        </c:ser>
        <c:dLbls>
          <c:showLegendKey val="0"/>
          <c:showVal val="0"/>
          <c:showCatName val="0"/>
          <c:showSerName val="0"/>
          <c:showPercent val="0"/>
          <c:showBubbleSize val="0"/>
        </c:dLbls>
        <c:gapWidth val="150"/>
        <c:axId val="162332032"/>
        <c:axId val="162337920"/>
      </c:barChart>
      <c:catAx>
        <c:axId val="162332032"/>
        <c:scaling>
          <c:orientation val="minMax"/>
        </c:scaling>
        <c:delete val="0"/>
        <c:axPos val="b"/>
        <c:majorTickMark val="out"/>
        <c:minorTickMark val="none"/>
        <c:tickLblPos val="nextTo"/>
        <c:crossAx val="162337920"/>
        <c:crosses val="autoZero"/>
        <c:auto val="1"/>
        <c:lblAlgn val="ctr"/>
        <c:lblOffset val="100"/>
        <c:noMultiLvlLbl val="0"/>
      </c:catAx>
      <c:valAx>
        <c:axId val="162337920"/>
        <c:scaling>
          <c:orientation val="minMax"/>
        </c:scaling>
        <c:delete val="0"/>
        <c:axPos val="l"/>
        <c:majorGridlines/>
        <c:numFmt formatCode="General" sourceLinked="1"/>
        <c:majorTickMark val="out"/>
        <c:minorTickMark val="none"/>
        <c:tickLblPos val="nextTo"/>
        <c:crossAx val="1623320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Thomas</a:t>
            </a:r>
            <a:r>
              <a:rPr lang="en-US" baseline="0"/>
              <a:t> Johnson Middle</a:t>
            </a:r>
          </a:p>
          <a:p>
            <a:pPr>
              <a:defRPr/>
            </a:pPr>
            <a:r>
              <a:rPr lang="en-US" baseline="0"/>
              <a:t>FAST Data 2011-2012</a:t>
            </a:r>
          </a:p>
          <a:p>
            <a:pPr>
              <a:defRPr/>
            </a:pPr>
            <a:r>
              <a:rPr lang="en-US" baseline="0"/>
              <a:t>Mathematics</a:t>
            </a:r>
            <a:endParaRPr lang="en-US"/>
          </a:p>
        </c:rich>
      </c:tx>
      <c:overlay val="0"/>
    </c:title>
    <c:autoTitleDeleted val="0"/>
    <c:plotArea>
      <c:layout/>
      <c:barChart>
        <c:barDir val="col"/>
        <c:grouping val="clustered"/>
        <c:varyColors val="0"/>
        <c:ser>
          <c:idx val="0"/>
          <c:order val="0"/>
          <c:tx>
            <c:strRef>
              <c:f>Sheet8!$A$2</c:f>
              <c:strCache>
                <c:ptCount val="1"/>
                <c:pt idx="0">
                  <c:v>Fast I</c:v>
                </c:pt>
              </c:strCache>
            </c:strRef>
          </c:tx>
          <c:spPr>
            <a:solidFill>
              <a:schemeClr val="accent2">
                <a:lumMod val="50000"/>
              </a:schemeClr>
            </a:solidFill>
          </c:spPr>
          <c:invertIfNegative val="0"/>
          <c:dLbls>
            <c:showLegendKey val="0"/>
            <c:showVal val="1"/>
            <c:showCatName val="0"/>
            <c:showSerName val="0"/>
            <c:showPercent val="0"/>
            <c:showBubbleSize val="0"/>
            <c:showLeaderLines val="0"/>
          </c:dLbls>
          <c:cat>
            <c:strRef>
              <c:f>Sheet8!$B$1:$E$1</c:f>
              <c:strCache>
                <c:ptCount val="4"/>
                <c:pt idx="0">
                  <c:v>All</c:v>
                </c:pt>
                <c:pt idx="1">
                  <c:v>6th </c:v>
                </c:pt>
                <c:pt idx="2">
                  <c:v>7th </c:v>
                </c:pt>
                <c:pt idx="3">
                  <c:v>8th</c:v>
                </c:pt>
              </c:strCache>
            </c:strRef>
          </c:cat>
          <c:val>
            <c:numRef>
              <c:f>Sheet8!$B$2:$E$2</c:f>
              <c:numCache>
                <c:formatCode>General</c:formatCode>
                <c:ptCount val="4"/>
                <c:pt idx="0">
                  <c:v>46.24</c:v>
                </c:pt>
                <c:pt idx="1">
                  <c:v>41.58</c:v>
                </c:pt>
                <c:pt idx="2">
                  <c:v>53.339999999999996</c:v>
                </c:pt>
                <c:pt idx="3">
                  <c:v>43.59</c:v>
                </c:pt>
              </c:numCache>
            </c:numRef>
          </c:val>
        </c:ser>
        <c:ser>
          <c:idx val="1"/>
          <c:order val="1"/>
          <c:tx>
            <c:strRef>
              <c:f>Sheet8!$A$3</c:f>
              <c:strCache>
                <c:ptCount val="1"/>
                <c:pt idx="0">
                  <c:v>Fast II</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strRef>
              <c:f>Sheet8!$B$1:$E$1</c:f>
              <c:strCache>
                <c:ptCount val="4"/>
                <c:pt idx="0">
                  <c:v>All</c:v>
                </c:pt>
                <c:pt idx="1">
                  <c:v>6th </c:v>
                </c:pt>
                <c:pt idx="2">
                  <c:v>7th </c:v>
                </c:pt>
                <c:pt idx="3">
                  <c:v>8th</c:v>
                </c:pt>
              </c:strCache>
            </c:strRef>
          </c:cat>
          <c:val>
            <c:numRef>
              <c:f>Sheet8!$B$3:$E$3</c:f>
              <c:numCache>
                <c:formatCode>General</c:formatCode>
                <c:ptCount val="4"/>
                <c:pt idx="0">
                  <c:v>46.68</c:v>
                </c:pt>
                <c:pt idx="1">
                  <c:v>35.03</c:v>
                </c:pt>
                <c:pt idx="2">
                  <c:v>55</c:v>
                </c:pt>
                <c:pt idx="3">
                  <c:v>50</c:v>
                </c:pt>
              </c:numCache>
            </c:numRef>
          </c:val>
        </c:ser>
        <c:dLbls>
          <c:showLegendKey val="0"/>
          <c:showVal val="0"/>
          <c:showCatName val="0"/>
          <c:showSerName val="0"/>
          <c:showPercent val="0"/>
          <c:showBubbleSize val="0"/>
        </c:dLbls>
        <c:gapWidth val="150"/>
        <c:axId val="162228864"/>
        <c:axId val="162238848"/>
      </c:barChart>
      <c:catAx>
        <c:axId val="162228864"/>
        <c:scaling>
          <c:orientation val="minMax"/>
        </c:scaling>
        <c:delete val="0"/>
        <c:axPos val="b"/>
        <c:majorTickMark val="out"/>
        <c:minorTickMark val="none"/>
        <c:tickLblPos val="nextTo"/>
        <c:crossAx val="162238848"/>
        <c:crosses val="autoZero"/>
        <c:auto val="1"/>
        <c:lblAlgn val="ctr"/>
        <c:lblOffset val="100"/>
        <c:noMultiLvlLbl val="0"/>
      </c:catAx>
      <c:valAx>
        <c:axId val="162238848"/>
        <c:scaling>
          <c:orientation val="minMax"/>
        </c:scaling>
        <c:delete val="0"/>
        <c:axPos val="l"/>
        <c:majorGridlines/>
        <c:numFmt formatCode="General" sourceLinked="1"/>
        <c:majorTickMark val="out"/>
        <c:minorTickMark val="none"/>
        <c:tickLblPos val="nextTo"/>
        <c:crossAx val="162228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731E-9E85-4952-BED5-11FD0420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Prince George’s County Public Schools</vt:lpstr>
    </vt:vector>
  </TitlesOfParts>
  <Company>BCPSS</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George’s County Public Schools</dc:title>
  <dc:creator>mpyle</dc:creator>
  <cp:lastModifiedBy>Edward Ryans</cp:lastModifiedBy>
  <cp:revision>2</cp:revision>
  <cp:lastPrinted>2012-03-07T19:15:00Z</cp:lastPrinted>
  <dcterms:created xsi:type="dcterms:W3CDTF">2012-05-15T13:30:00Z</dcterms:created>
  <dcterms:modified xsi:type="dcterms:W3CDTF">2012-05-15T13:30:00Z</dcterms:modified>
</cp:coreProperties>
</file>